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D6" w:rsidRPr="00AD1AD6" w:rsidRDefault="00044558" w:rsidP="00AD1AD6">
      <w:pPr>
        <w:widowControl/>
        <w:adjustRightInd w:val="0"/>
        <w:snapToGrid w:val="0"/>
        <w:spacing w:line="540" w:lineRule="atLeast"/>
        <w:jc w:val="center"/>
        <w:rPr>
          <w:rFonts w:asciiTheme="minorEastAsia" w:hAnsiTheme="minorEastAsia" w:cs="Times New Roman" w:hint="eastAsia"/>
          <w:b/>
          <w:bCs/>
          <w:sz w:val="36"/>
          <w:szCs w:val="36"/>
        </w:rPr>
      </w:pPr>
      <w:r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中国太平洋</w:t>
      </w:r>
      <w:r w:rsidR="00454088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人寿</w:t>
      </w:r>
      <w:r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保险股份有限公司</w:t>
      </w:r>
      <w:r w:rsidR="00FC10D7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与</w:t>
      </w:r>
      <w:r w:rsidR="00D41D42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光大银行</w:t>
      </w:r>
    </w:p>
    <w:p w:rsidR="00044558" w:rsidRPr="00AD1AD6" w:rsidRDefault="005B7907" w:rsidP="00AD1AD6">
      <w:pPr>
        <w:widowControl/>
        <w:adjustRightInd w:val="0"/>
        <w:snapToGrid w:val="0"/>
        <w:spacing w:line="540" w:lineRule="atLeast"/>
        <w:jc w:val="center"/>
        <w:rPr>
          <w:rFonts w:asciiTheme="minorEastAsia" w:hAnsiTheme="minorEastAsia" w:cs="Times New Roman" w:hint="eastAsia"/>
          <w:b/>
          <w:bCs/>
          <w:sz w:val="36"/>
          <w:szCs w:val="36"/>
        </w:rPr>
      </w:pPr>
      <w:r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定期</w:t>
      </w:r>
      <w:r w:rsidR="00D41D42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存款</w:t>
      </w:r>
      <w:r w:rsidR="00044558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关联交易的信息披露公告</w:t>
      </w:r>
      <w:r w:rsidR="00044558" w:rsidRPr="00AD1AD6">
        <w:rPr>
          <w:rFonts w:asciiTheme="minorEastAsia" w:hAnsiTheme="minorEastAsia" w:hint="eastAsia"/>
          <w:b/>
          <w:bCs/>
          <w:sz w:val="36"/>
          <w:szCs w:val="36"/>
        </w:rPr>
        <w:t>（2</w:t>
      </w:r>
      <w:r w:rsidR="00044558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01</w:t>
      </w:r>
      <w:r w:rsidR="000D63B6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7</w:t>
      </w:r>
      <w:r w:rsidR="00044558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-</w:t>
      </w:r>
      <w:r w:rsidR="000250C9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60</w:t>
      </w:r>
      <w:r w:rsidR="00044558" w:rsidRPr="00AD1AD6">
        <w:rPr>
          <w:rFonts w:asciiTheme="minorEastAsia" w:hAnsiTheme="minorEastAsia" w:cs="Times New Roman" w:hint="eastAsia"/>
          <w:b/>
          <w:bCs/>
          <w:sz w:val="36"/>
          <w:szCs w:val="36"/>
        </w:rPr>
        <w:t>）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仿宋" w:cs="Times New Roman" w:hint="eastAsia"/>
          <w:sz w:val="30"/>
          <w:szCs w:val="30"/>
        </w:rPr>
      </w:pPr>
    </w:p>
    <w:p w:rsidR="00044558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根据中国保监会《关于进一步加强保险公司关联交易信息披露工作有关问题的通知》（保监发〔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2016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〕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52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号）及《保险公司资金运用信息披露准则第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号：关联交易》（保监发〔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2014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〕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44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号）的相关规定，现将中国太平洋人寿保险股份有限公司（以下简称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本公司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）</w:t>
      </w:r>
      <w:r w:rsidR="00EF560C" w:rsidRPr="00AD1AD6">
        <w:rPr>
          <w:rFonts w:ascii="仿宋_GB2312" w:eastAsia="仿宋_GB2312" w:hAnsi="仿宋" w:cs="Times New Roman" w:hint="eastAsia"/>
          <w:sz w:val="30"/>
          <w:szCs w:val="30"/>
        </w:rPr>
        <w:t>通过受托资产管理人上投摩根基金管理有限公司（以下简称</w:t>
      </w:r>
      <w:r w:rsidR="00EF560C" w:rsidRPr="00AD1AD6"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 w:rsidR="00EF560C" w:rsidRPr="00AD1AD6">
        <w:rPr>
          <w:rFonts w:ascii="仿宋_GB2312" w:eastAsia="仿宋_GB2312" w:hAnsi="仿宋" w:cs="Times New Roman" w:hint="eastAsia"/>
          <w:sz w:val="30"/>
          <w:szCs w:val="30"/>
        </w:rPr>
        <w:t>上投摩根</w:t>
      </w:r>
      <w:r w:rsidR="00EF560C" w:rsidRPr="00AD1AD6"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 w:rsidR="00EF560C" w:rsidRPr="00AD1AD6">
        <w:rPr>
          <w:rFonts w:ascii="仿宋_GB2312" w:eastAsia="仿宋_GB2312" w:hAnsi="仿宋" w:cs="Times New Roman" w:hint="eastAsia"/>
          <w:sz w:val="30"/>
          <w:szCs w:val="30"/>
        </w:rPr>
        <w:t>）</w:t>
      </w:r>
      <w:r w:rsidR="00964A0C" w:rsidRPr="00AD1AD6">
        <w:rPr>
          <w:rFonts w:ascii="仿宋_GB2312" w:eastAsia="仿宋_GB2312" w:hAnsi="仿宋" w:cs="Times New Roman" w:hint="eastAsia"/>
          <w:sz w:val="30"/>
          <w:szCs w:val="30"/>
        </w:rPr>
        <w:t>在</w:t>
      </w:r>
      <w:r w:rsidR="00207202" w:rsidRPr="00AD1AD6">
        <w:rPr>
          <w:rFonts w:ascii="仿宋_GB2312" w:eastAsia="仿宋_GB2312" w:hAnsi="仿宋" w:cs="Times New Roman" w:hint="eastAsia"/>
          <w:sz w:val="30"/>
          <w:szCs w:val="30"/>
        </w:rPr>
        <w:t>中国</w:t>
      </w:r>
      <w:r w:rsidR="00964A0C" w:rsidRPr="00AD1AD6">
        <w:rPr>
          <w:rFonts w:ascii="仿宋_GB2312" w:eastAsia="仿宋_GB2312" w:hAnsi="仿宋" w:cs="Times New Roman" w:hint="eastAsia"/>
          <w:sz w:val="30"/>
          <w:szCs w:val="30"/>
        </w:rPr>
        <w:t>光大银行</w:t>
      </w:r>
      <w:r w:rsidR="00207202" w:rsidRPr="00AD1AD6">
        <w:rPr>
          <w:rFonts w:ascii="仿宋_GB2312" w:eastAsia="仿宋_GB2312" w:hAnsi="仿宋" w:cs="Times New Roman" w:hint="eastAsia"/>
          <w:sz w:val="30"/>
          <w:szCs w:val="30"/>
        </w:rPr>
        <w:t>股份有限公司（下称</w:t>
      </w:r>
      <w:r w:rsidR="00207202" w:rsidRPr="00AD1AD6"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 w:rsidR="00207202" w:rsidRPr="00AD1AD6">
        <w:rPr>
          <w:rFonts w:ascii="仿宋_GB2312" w:eastAsia="仿宋_GB2312" w:hAnsi="仿宋" w:cs="Times New Roman" w:hint="eastAsia"/>
          <w:sz w:val="30"/>
          <w:szCs w:val="30"/>
        </w:rPr>
        <w:t>光大银行</w:t>
      </w:r>
      <w:r w:rsidR="00207202" w:rsidRPr="00AD1AD6"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 w:rsidR="00207202" w:rsidRPr="00AD1AD6">
        <w:rPr>
          <w:rFonts w:ascii="仿宋_GB2312" w:eastAsia="仿宋_GB2312" w:hAnsi="仿宋" w:cs="Times New Roman" w:hint="eastAsia"/>
          <w:sz w:val="30"/>
          <w:szCs w:val="30"/>
        </w:rPr>
        <w:t>）</w:t>
      </w:r>
      <w:r w:rsidR="000222CB" w:rsidRPr="00AD1AD6">
        <w:rPr>
          <w:rFonts w:ascii="仿宋_GB2312" w:eastAsia="仿宋_GB2312" w:hAnsi="仿宋" w:cs="Times New Roman" w:hint="eastAsia"/>
          <w:sz w:val="30"/>
          <w:szCs w:val="30"/>
        </w:rPr>
        <w:t>办理</w:t>
      </w:r>
      <w:r w:rsidR="005B7907" w:rsidRPr="00AD1AD6">
        <w:rPr>
          <w:rFonts w:ascii="仿宋_GB2312" w:eastAsia="仿宋_GB2312" w:hAnsi="仿宋" w:cs="Times New Roman" w:hint="eastAsia"/>
          <w:sz w:val="30"/>
          <w:szCs w:val="30"/>
        </w:rPr>
        <w:t>定期</w:t>
      </w:r>
      <w:r w:rsidR="00964A0C" w:rsidRPr="00AD1AD6">
        <w:rPr>
          <w:rFonts w:ascii="仿宋_GB2312" w:eastAsia="仿宋_GB2312" w:hAnsi="仿宋" w:cs="Times New Roman" w:hint="eastAsia"/>
          <w:sz w:val="30"/>
          <w:szCs w:val="30"/>
        </w:rPr>
        <w:t>存款</w:t>
      </w:r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关联交易</w:t>
      </w:r>
      <w:r w:rsidR="005B7907" w:rsidRPr="00AD1AD6">
        <w:rPr>
          <w:rFonts w:ascii="仿宋_GB2312" w:eastAsia="仿宋_GB2312" w:hAnsi="仿宋" w:cs="Times New Roman" w:hint="eastAsia"/>
          <w:sz w:val="30"/>
          <w:szCs w:val="30"/>
        </w:rPr>
        <w:t>的</w:t>
      </w:r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有关信息披露如下：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一、交易概述及交易标的</w:t>
      </w:r>
      <w:proofErr w:type="gramStart"/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的</w:t>
      </w:r>
      <w:proofErr w:type="gramEnd"/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基本情况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（一）交易概述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201</w:t>
      </w:r>
      <w:r w:rsidR="000D63B6" w:rsidRPr="00AD1AD6">
        <w:rPr>
          <w:rFonts w:ascii="仿宋_GB2312" w:eastAsia="仿宋_GB2312" w:hAnsi="Times New Roman" w:cs="Times New Roman" w:hint="eastAsia"/>
          <w:sz w:val="30"/>
          <w:szCs w:val="30"/>
        </w:rPr>
        <w:t>7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="00964A0C" w:rsidRPr="00AD1AD6"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="000D63B6" w:rsidRPr="00AD1AD6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日，本公司</w:t>
      </w:r>
      <w:r w:rsidR="003535A9" w:rsidRPr="00AD1AD6">
        <w:rPr>
          <w:rFonts w:ascii="仿宋_GB2312" w:eastAsia="仿宋_GB2312" w:hAnsi="仿宋" w:cs="Times New Roman" w:hint="eastAsia"/>
          <w:sz w:val="30"/>
          <w:szCs w:val="30"/>
        </w:rPr>
        <w:t>保险资金受托管理人上投摩根</w:t>
      </w:r>
      <w:r w:rsidR="00964A0C" w:rsidRPr="00AD1AD6">
        <w:rPr>
          <w:rFonts w:ascii="仿宋_GB2312" w:eastAsia="仿宋_GB2312" w:hAnsi="仿宋" w:cs="Times New Roman" w:hint="eastAsia"/>
          <w:sz w:val="30"/>
          <w:szCs w:val="30"/>
        </w:rPr>
        <w:t>在光大银行</w:t>
      </w:r>
      <w:r w:rsidR="000222CB" w:rsidRPr="00AD1AD6">
        <w:rPr>
          <w:rFonts w:ascii="仿宋_GB2312" w:eastAsia="仿宋_GB2312" w:hAnsi="仿宋" w:cs="Times New Roman" w:hint="eastAsia"/>
          <w:sz w:val="30"/>
          <w:szCs w:val="30"/>
        </w:rPr>
        <w:t>办理</w:t>
      </w:r>
      <w:r w:rsidR="00964A0C" w:rsidRPr="00AD1AD6">
        <w:rPr>
          <w:rFonts w:ascii="仿宋_GB2312" w:eastAsia="仿宋_GB2312" w:hAnsi="仿宋" w:cs="Times New Roman" w:hint="eastAsia"/>
          <w:sz w:val="30"/>
          <w:szCs w:val="30"/>
        </w:rPr>
        <w:t>了一笔三月定期存款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，金额</w:t>
      </w:r>
      <w:r w:rsidR="00964A0C" w:rsidRPr="00AD1AD6">
        <w:rPr>
          <w:rFonts w:ascii="仿宋_GB2312" w:eastAsia="仿宋_GB2312" w:hAnsi="Times New Roman" w:cs="Times New Roman" w:hint="eastAsia"/>
          <w:sz w:val="30"/>
          <w:szCs w:val="30"/>
        </w:rPr>
        <w:t>4000</w:t>
      </w:r>
      <w:r w:rsidR="00964A0C" w:rsidRPr="00AD1AD6">
        <w:rPr>
          <w:rFonts w:ascii="仿宋_GB2312" w:eastAsia="仿宋_GB2312" w:hAnsi="仿宋" w:cs="Times New Roman" w:hint="eastAsia"/>
          <w:sz w:val="30"/>
          <w:szCs w:val="30"/>
        </w:rPr>
        <w:t>万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元。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（二）</w:t>
      </w:r>
      <w:r w:rsidR="004A2421" w:rsidRPr="00AD1AD6">
        <w:rPr>
          <w:rFonts w:ascii="仿宋_GB2312" w:eastAsia="仿宋_GB2312" w:hAnsi="仿宋" w:cs="Times New Roman" w:hint="eastAsia"/>
          <w:kern w:val="0"/>
          <w:sz w:val="30"/>
          <w:szCs w:val="30"/>
        </w:rPr>
        <w:t>交易标的</w:t>
      </w:r>
      <w:proofErr w:type="gramStart"/>
      <w:r w:rsidRPr="00AD1AD6">
        <w:rPr>
          <w:rFonts w:ascii="仿宋_GB2312" w:eastAsia="仿宋_GB2312" w:hAnsi="仿宋" w:cs="Times New Roman" w:hint="eastAsia"/>
          <w:sz w:val="30"/>
          <w:szCs w:val="30"/>
        </w:rPr>
        <w:t>的</w:t>
      </w:r>
      <w:proofErr w:type="gramEnd"/>
      <w:r w:rsidRPr="00AD1AD6">
        <w:rPr>
          <w:rFonts w:ascii="仿宋_GB2312" w:eastAsia="仿宋_GB2312" w:hAnsi="仿宋" w:cs="Times New Roman" w:hint="eastAsia"/>
          <w:sz w:val="30"/>
          <w:szCs w:val="30"/>
        </w:rPr>
        <w:t>基本情况</w:t>
      </w:r>
    </w:p>
    <w:p w:rsidR="004558C7" w:rsidRPr="00AD1AD6" w:rsidRDefault="0036443E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仿宋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该笔存款本金为4000万元，起息日为2017年5月3日，到期日为2017年8月3日，年化利率为4.55%。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二、交易各方的关联关系和关联方基本情况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（一）交易各方的关联关系</w:t>
      </w:r>
    </w:p>
    <w:p w:rsidR="00884D3C" w:rsidRPr="00AD1AD6" w:rsidRDefault="00670A6D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光大银行</w:t>
      </w:r>
      <w:proofErr w:type="gramStart"/>
      <w:r w:rsidRPr="00AD1AD6">
        <w:rPr>
          <w:rFonts w:ascii="仿宋_GB2312" w:eastAsia="仿宋_GB2312" w:hAnsi="仿宋" w:cs="Times New Roman" w:hint="eastAsia"/>
          <w:sz w:val="30"/>
          <w:szCs w:val="30"/>
        </w:rPr>
        <w:t>监事吴俊豪同时</w:t>
      </w:r>
      <w:proofErr w:type="gramEnd"/>
      <w:r w:rsidRPr="00AD1AD6">
        <w:rPr>
          <w:rFonts w:ascii="仿宋_GB2312" w:eastAsia="仿宋_GB2312" w:hAnsi="仿宋" w:cs="Times New Roman" w:hint="eastAsia"/>
          <w:sz w:val="30"/>
          <w:szCs w:val="30"/>
        </w:rPr>
        <w:t>兼任本公司董事，</w:t>
      </w:r>
      <w:r w:rsidR="001D33F3" w:rsidRPr="00AD1AD6">
        <w:rPr>
          <w:rFonts w:ascii="仿宋_GB2312" w:eastAsia="仿宋_GB2312" w:hAnsi="仿宋" w:cs="Times New Roman" w:hint="eastAsia"/>
          <w:sz w:val="30"/>
          <w:szCs w:val="30"/>
        </w:rPr>
        <w:t>光大银行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与本公司构成以经营管理权为基础的关联方。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（二）关联方基本情况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关联方名称：</w:t>
      </w:r>
      <w:r w:rsidR="00B15072" w:rsidRPr="00AD1AD6">
        <w:rPr>
          <w:rFonts w:ascii="仿宋_GB2312" w:eastAsia="仿宋_GB2312" w:hAnsi="仿宋" w:cs="Times New Roman" w:hint="eastAsia"/>
          <w:sz w:val="30"/>
          <w:szCs w:val="30"/>
        </w:rPr>
        <w:t>中国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光大银行</w:t>
      </w:r>
      <w:r w:rsidR="00C2178A" w:rsidRPr="00AD1AD6">
        <w:rPr>
          <w:rFonts w:ascii="仿宋_GB2312" w:eastAsia="仿宋_GB2312" w:hAnsi="仿宋" w:cs="Times New Roman" w:hint="eastAsia"/>
          <w:sz w:val="30"/>
          <w:szCs w:val="30"/>
        </w:rPr>
        <w:t>股份有限公司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企业类型：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股份制商业银行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lastRenderedPageBreak/>
        <w:t>注册地址：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北京市西城区太平桥大街</w:t>
      </w:r>
      <w:r w:rsidR="002E5251" w:rsidRPr="00AD1AD6">
        <w:rPr>
          <w:rFonts w:ascii="仿宋_GB2312" w:eastAsia="仿宋_GB2312" w:hAnsi="Times New Roman" w:cs="Times New Roman" w:hint="eastAsia"/>
          <w:sz w:val="30"/>
          <w:szCs w:val="30"/>
        </w:rPr>
        <w:t>25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号、甲</w:t>
      </w:r>
      <w:r w:rsidR="002E5251" w:rsidRPr="00AD1AD6">
        <w:rPr>
          <w:rFonts w:ascii="仿宋_GB2312" w:eastAsia="仿宋_GB2312" w:hAnsi="Times New Roman" w:cs="Times New Roman" w:hint="eastAsia"/>
          <w:sz w:val="30"/>
          <w:szCs w:val="30"/>
        </w:rPr>
        <w:t>25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号中国光大中心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法定代表人：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唐双宁</w:t>
      </w:r>
    </w:p>
    <w:p w:rsidR="002E5251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经营范围：</w:t>
      </w:r>
      <w:r w:rsidR="002E5251" w:rsidRPr="00AD1AD6">
        <w:rPr>
          <w:rFonts w:ascii="仿宋_GB2312" w:eastAsia="仿宋_GB2312" w:hAnsi="仿宋" w:cs="Times New Roman" w:hint="eastAsia"/>
          <w:sz w:val="30"/>
          <w:szCs w:val="30"/>
        </w:rPr>
        <w:t>吸收公众存款；发放短期、中期和长期贷款；办理国内外结算；办理票据贴现；发行金融债券；代理发行、代理兑付、承销政府债券；买卖政府债券；从事同业拆借；买卖、代理买卖外汇；提供信用证服务及担保；代理收付款项及代理保险业务；提供保管箱服务；经中国人民银行和国家外汇管理局批准的其他业务。（企业依法自主选择经营项目，开展经营活动；依法须经批准的项目，经相关部门批准后依批准的内容开展经营活动；不得从事本市产业政策禁止和限制类项目的经营活动。）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注册资本：人民币</w:t>
      </w:r>
      <w:r w:rsidR="002E5251" w:rsidRPr="00AD1AD6">
        <w:rPr>
          <w:rFonts w:ascii="仿宋_GB2312" w:eastAsia="仿宋_GB2312" w:hAnsi="Times New Roman" w:cs="Times New Roman" w:hint="eastAsia"/>
          <w:sz w:val="30"/>
          <w:szCs w:val="30"/>
        </w:rPr>
        <w:t>4667909.5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万元</w:t>
      </w:r>
    </w:p>
    <w:p w:rsidR="000D63B6" w:rsidRPr="00AD1AD6" w:rsidRDefault="000D63B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统一社会信用代码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 xml:space="preserve">: </w:t>
      </w:r>
      <w:r w:rsidR="002E5251" w:rsidRPr="00AD1AD6">
        <w:rPr>
          <w:rFonts w:ascii="仿宋_GB2312" w:eastAsia="仿宋_GB2312" w:hAnsi="Times New Roman" w:cs="Times New Roman" w:hint="eastAsia"/>
          <w:sz w:val="30"/>
          <w:szCs w:val="30"/>
        </w:rPr>
        <w:t>91110000100011743X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三、交易的定价政策及定价依据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（一）定价政策</w:t>
      </w:r>
    </w:p>
    <w:p w:rsidR="00052AD1" w:rsidRPr="00AD1AD6" w:rsidRDefault="00052AD1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仿宋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根据市场价格定价，成交价格与市场公允价格一致。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（二）定价依据</w:t>
      </w:r>
    </w:p>
    <w:p w:rsidR="00052AD1" w:rsidRPr="00AD1AD6" w:rsidRDefault="00052AD1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仿宋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向3家以上银行询价，选取价格最高者。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四、交易协议的主要内容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（一）交易价格</w:t>
      </w:r>
    </w:p>
    <w:p w:rsidR="00F66591" w:rsidRPr="00AD1AD6" w:rsidRDefault="00F66591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存款本金为4000万元，</w:t>
      </w:r>
      <w:proofErr w:type="gramStart"/>
      <w:r w:rsidRPr="00AD1AD6">
        <w:rPr>
          <w:rFonts w:ascii="仿宋_GB2312" w:eastAsia="仿宋_GB2312" w:hAnsi="仿宋" w:cs="Times New Roman" w:hint="eastAsia"/>
          <w:sz w:val="30"/>
          <w:szCs w:val="30"/>
        </w:rPr>
        <w:t>年化利率</w:t>
      </w:r>
      <w:proofErr w:type="gramEnd"/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4.55%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（二）交易结算方式</w:t>
      </w:r>
    </w:p>
    <w:p w:rsidR="00F66591" w:rsidRPr="00AD1AD6" w:rsidRDefault="00F66591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现金结算。到期后一次性还本付息。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（三）协议生效条件、生效时间、履行期限</w:t>
      </w:r>
    </w:p>
    <w:p w:rsidR="009416C9" w:rsidRPr="00AD1AD6" w:rsidRDefault="00F66591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仿宋" w:cs="Times New Roman" w:hint="eastAsia"/>
          <w:sz w:val="30"/>
          <w:szCs w:val="30"/>
        </w:rPr>
      </w:pP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 xml:space="preserve">存单开具即生效，履行期限自2017年5月3日至2017年8月3日。 </w:t>
      </w:r>
      <w:bookmarkStart w:id="0" w:name="_GoBack"/>
      <w:bookmarkEnd w:id="0"/>
    </w:p>
    <w:p w:rsidR="0055332D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五、交易决策及审议情况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（一）决策的机构、时间、结论</w:t>
      </w:r>
    </w:p>
    <w:p w:rsidR="00973CA6" w:rsidRPr="00AD1AD6" w:rsidRDefault="00973CA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仿宋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2017年4月，本公司董事会和股东大会审议通过了《关于中国太平洋人寿保险股份有限公司2017年度资金运用日常关联交易的议案》，批准本公司按照市场公允价格与光大银行在2000亿元的额度内开展资金运用日常关联交易。</w:t>
      </w:r>
    </w:p>
    <w:p w:rsidR="00044558" w:rsidRPr="00AD1AD6" w:rsidRDefault="00973CA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本公司委托上投摩根进行保险资金的管理运用。上投摩根根据委托资产管理合同、投资指引和本公司的资产管理投资需求，自主进行委托资产管理项下的资产配置、投资决策和资金运用操作，制定具体投资策略和风险控制策略，发出投资交易和其他相关指令。依据自身成熟完善的决策机制，上投摩根于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2017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Pr="00AD1AD6"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日经相关投资决策流程审批通过本次投资决策。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（二）审议的方式和过程</w:t>
      </w:r>
    </w:p>
    <w:p w:rsidR="00044558" w:rsidRPr="00AD1AD6" w:rsidRDefault="004E6D40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本次投资由</w:t>
      </w:r>
      <w:r w:rsidR="00817A4E" w:rsidRPr="00AD1AD6">
        <w:rPr>
          <w:rFonts w:ascii="仿宋_GB2312" w:eastAsia="仿宋_GB2312" w:hAnsi="仿宋" w:cs="Times New Roman" w:hint="eastAsia"/>
          <w:sz w:val="30"/>
          <w:szCs w:val="30"/>
        </w:rPr>
        <w:t>上投摩根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投资管理部门以投资操作申请的形式发起，按照</w:t>
      </w:r>
      <w:r w:rsidR="00817A4E" w:rsidRPr="00AD1AD6">
        <w:rPr>
          <w:rFonts w:ascii="仿宋_GB2312" w:eastAsia="仿宋_GB2312" w:hAnsi="仿宋" w:cs="Times New Roman" w:hint="eastAsia"/>
          <w:sz w:val="30"/>
          <w:szCs w:val="30"/>
        </w:rPr>
        <w:t>上投摩根</w:t>
      </w:r>
      <w:r w:rsidRPr="00AD1AD6">
        <w:rPr>
          <w:rFonts w:ascii="仿宋_GB2312" w:eastAsia="仿宋_GB2312" w:hAnsi="仿宋" w:cs="Times New Roman" w:hint="eastAsia"/>
          <w:sz w:val="30"/>
          <w:szCs w:val="30"/>
        </w:rPr>
        <w:t>相关投资交易权限，经相关投资决策流程审批通过</w:t>
      </w:r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2"/>
        <w:rPr>
          <w:rFonts w:ascii="仿宋_GB2312" w:eastAsia="仿宋_GB2312" w:hAnsi="Times New Roman" w:cs="Times New Roman" w:hint="eastAsia"/>
          <w:b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b/>
          <w:sz w:val="30"/>
          <w:szCs w:val="30"/>
        </w:rPr>
        <w:t>六、其他需要披露的信息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无。</w:t>
      </w:r>
    </w:p>
    <w:p w:rsidR="00044558" w:rsidRPr="00AD1AD6" w:rsidRDefault="00044558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4358AB" w:rsidRPr="00AD1AD6" w:rsidRDefault="00973CA6" w:rsidP="00AD1AD6">
      <w:pPr>
        <w:widowControl/>
        <w:adjustRightInd w:val="0"/>
        <w:snapToGrid w:val="0"/>
        <w:spacing w:line="540" w:lineRule="atLeas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D1AD6">
        <w:rPr>
          <w:rFonts w:ascii="仿宋_GB2312" w:eastAsia="仿宋_GB2312" w:hAnsi="仿宋" w:cs="Times New Roman" w:hint="eastAsia"/>
          <w:sz w:val="30"/>
          <w:szCs w:val="30"/>
        </w:rPr>
        <w:t>我</w:t>
      </w:r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公司承诺：已充分知晓开展此项交易的责任和风险，并对本公告所披露信息的真实性、准确性、完整性和合</w:t>
      </w:r>
      <w:proofErr w:type="gramStart"/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规</w:t>
      </w:r>
      <w:proofErr w:type="gramEnd"/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性负责，愿意接受有关方面监督。对本公告所披露信息如有异议，可以于本公告发布之日起</w:t>
      </w:r>
      <w:r w:rsidR="00044558" w:rsidRPr="00AD1AD6">
        <w:rPr>
          <w:rFonts w:ascii="仿宋_GB2312" w:eastAsia="仿宋_GB2312" w:hAnsi="Times New Roman" w:cs="Times New Roman" w:hint="eastAsia"/>
          <w:sz w:val="30"/>
          <w:szCs w:val="30"/>
        </w:rPr>
        <w:t>10</w:t>
      </w:r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个工作日内，向中国保监</w:t>
      </w:r>
      <w:proofErr w:type="gramStart"/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会保险</w:t>
      </w:r>
      <w:proofErr w:type="gramEnd"/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资金运用</w:t>
      </w:r>
      <w:proofErr w:type="gramStart"/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监管部</w:t>
      </w:r>
      <w:proofErr w:type="gramEnd"/>
      <w:r w:rsidR="00044558" w:rsidRPr="00AD1AD6">
        <w:rPr>
          <w:rFonts w:ascii="仿宋_GB2312" w:eastAsia="仿宋_GB2312" w:hAnsi="仿宋" w:cs="Times New Roman" w:hint="eastAsia"/>
          <w:sz w:val="30"/>
          <w:szCs w:val="30"/>
        </w:rPr>
        <w:t>反映。</w:t>
      </w:r>
    </w:p>
    <w:sectPr w:rsidR="004358AB" w:rsidRPr="00AD1AD6" w:rsidSect="00AD1AD6">
      <w:footerReference w:type="default" r:id="rId6"/>
      <w:pgSz w:w="11906" w:h="16838"/>
      <w:pgMar w:top="1474" w:right="1588" w:bottom="1588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117" w:rsidRDefault="00343117" w:rsidP="002D5627">
      <w:r>
        <w:separator/>
      </w:r>
    </w:p>
  </w:endnote>
  <w:endnote w:type="continuationSeparator" w:id="0">
    <w:p w:rsidR="00343117" w:rsidRDefault="00343117" w:rsidP="002D5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34046"/>
      <w:docPartObj>
        <w:docPartGallery w:val="Page Numbers (Bottom of Page)"/>
        <w:docPartUnique/>
      </w:docPartObj>
    </w:sdtPr>
    <w:sdtContent>
      <w:p w:rsidR="00AD1AD6" w:rsidRDefault="00AD1AD6">
        <w:pPr>
          <w:pStyle w:val="a7"/>
          <w:jc w:val="center"/>
        </w:pPr>
        <w:fldSimple w:instr=" PAGE   \* MERGEFORMAT ">
          <w:r w:rsidRPr="00AD1AD6">
            <w:rPr>
              <w:noProof/>
              <w:lang w:val="zh-CN"/>
            </w:rPr>
            <w:t>3</w:t>
          </w:r>
        </w:fldSimple>
      </w:p>
    </w:sdtContent>
  </w:sdt>
  <w:p w:rsidR="00AD1AD6" w:rsidRDefault="00AD1A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117" w:rsidRDefault="00343117" w:rsidP="002D5627">
      <w:r>
        <w:separator/>
      </w:r>
    </w:p>
  </w:footnote>
  <w:footnote w:type="continuationSeparator" w:id="0">
    <w:p w:rsidR="00343117" w:rsidRDefault="00343117" w:rsidP="002D5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4558"/>
    <w:rsid w:val="000070EC"/>
    <w:rsid w:val="00014512"/>
    <w:rsid w:val="000222CB"/>
    <w:rsid w:val="00022FE8"/>
    <w:rsid w:val="00024728"/>
    <w:rsid w:val="000250C9"/>
    <w:rsid w:val="00031FF1"/>
    <w:rsid w:val="0003592B"/>
    <w:rsid w:val="00044558"/>
    <w:rsid w:val="00051FD8"/>
    <w:rsid w:val="00052AD1"/>
    <w:rsid w:val="00083A3D"/>
    <w:rsid w:val="00096D5E"/>
    <w:rsid w:val="00097916"/>
    <w:rsid w:val="000B7CBF"/>
    <w:rsid w:val="000D63B6"/>
    <w:rsid w:val="000E5809"/>
    <w:rsid w:val="00102715"/>
    <w:rsid w:val="00107E0D"/>
    <w:rsid w:val="001310EC"/>
    <w:rsid w:val="00133042"/>
    <w:rsid w:val="00143AE6"/>
    <w:rsid w:val="00177561"/>
    <w:rsid w:val="00180825"/>
    <w:rsid w:val="001C008A"/>
    <w:rsid w:val="001D33F3"/>
    <w:rsid w:val="001E67B1"/>
    <w:rsid w:val="00207202"/>
    <w:rsid w:val="002137BD"/>
    <w:rsid w:val="00284E67"/>
    <w:rsid w:val="00291C01"/>
    <w:rsid w:val="002C0C3E"/>
    <w:rsid w:val="002C69A4"/>
    <w:rsid w:val="002D5627"/>
    <w:rsid w:val="002E5251"/>
    <w:rsid w:val="002F0B2B"/>
    <w:rsid w:val="00323B43"/>
    <w:rsid w:val="00343117"/>
    <w:rsid w:val="00351644"/>
    <w:rsid w:val="003535A9"/>
    <w:rsid w:val="0036129D"/>
    <w:rsid w:val="0036443E"/>
    <w:rsid w:val="00381C82"/>
    <w:rsid w:val="003C15EF"/>
    <w:rsid w:val="003D37D8"/>
    <w:rsid w:val="004053BD"/>
    <w:rsid w:val="00415EAC"/>
    <w:rsid w:val="004358AB"/>
    <w:rsid w:val="0044567A"/>
    <w:rsid w:val="00450188"/>
    <w:rsid w:val="00454088"/>
    <w:rsid w:val="004558C7"/>
    <w:rsid w:val="00474394"/>
    <w:rsid w:val="0048727B"/>
    <w:rsid w:val="0049026C"/>
    <w:rsid w:val="004A2421"/>
    <w:rsid w:val="004B01BB"/>
    <w:rsid w:val="004B1E7D"/>
    <w:rsid w:val="004B4D8F"/>
    <w:rsid w:val="004C1BCA"/>
    <w:rsid w:val="004E3A6B"/>
    <w:rsid w:val="004E6D40"/>
    <w:rsid w:val="004F1E34"/>
    <w:rsid w:val="0055332D"/>
    <w:rsid w:val="00597B67"/>
    <w:rsid w:val="005A1C12"/>
    <w:rsid w:val="005A362C"/>
    <w:rsid w:val="005B7907"/>
    <w:rsid w:val="005C4210"/>
    <w:rsid w:val="005E7E7C"/>
    <w:rsid w:val="0061054E"/>
    <w:rsid w:val="00614189"/>
    <w:rsid w:val="006226F6"/>
    <w:rsid w:val="00651268"/>
    <w:rsid w:val="00660460"/>
    <w:rsid w:val="00660738"/>
    <w:rsid w:val="00670A6D"/>
    <w:rsid w:val="0067373C"/>
    <w:rsid w:val="006A429E"/>
    <w:rsid w:val="006C60F7"/>
    <w:rsid w:val="006D2C99"/>
    <w:rsid w:val="006D6E23"/>
    <w:rsid w:val="006E47EB"/>
    <w:rsid w:val="006F0681"/>
    <w:rsid w:val="00746896"/>
    <w:rsid w:val="007730C6"/>
    <w:rsid w:val="007827CA"/>
    <w:rsid w:val="00784AA5"/>
    <w:rsid w:val="007A060D"/>
    <w:rsid w:val="00800FD2"/>
    <w:rsid w:val="0080223E"/>
    <w:rsid w:val="0081009D"/>
    <w:rsid w:val="00817A4E"/>
    <w:rsid w:val="00853014"/>
    <w:rsid w:val="00866E56"/>
    <w:rsid w:val="00884D3C"/>
    <w:rsid w:val="008A1077"/>
    <w:rsid w:val="008A525C"/>
    <w:rsid w:val="008B10D2"/>
    <w:rsid w:val="008B7726"/>
    <w:rsid w:val="008D272E"/>
    <w:rsid w:val="008D5404"/>
    <w:rsid w:val="008E48CB"/>
    <w:rsid w:val="009037BA"/>
    <w:rsid w:val="0091667F"/>
    <w:rsid w:val="009214E5"/>
    <w:rsid w:val="00923E74"/>
    <w:rsid w:val="00930E51"/>
    <w:rsid w:val="009416C9"/>
    <w:rsid w:val="0095725B"/>
    <w:rsid w:val="00964A0C"/>
    <w:rsid w:val="00973CA6"/>
    <w:rsid w:val="00987E25"/>
    <w:rsid w:val="009A5679"/>
    <w:rsid w:val="009C356C"/>
    <w:rsid w:val="009C56B2"/>
    <w:rsid w:val="009E295C"/>
    <w:rsid w:val="00A03822"/>
    <w:rsid w:val="00A050F9"/>
    <w:rsid w:val="00A37503"/>
    <w:rsid w:val="00A7031D"/>
    <w:rsid w:val="00A7439C"/>
    <w:rsid w:val="00AD1AD6"/>
    <w:rsid w:val="00B15072"/>
    <w:rsid w:val="00B15EBC"/>
    <w:rsid w:val="00B21A19"/>
    <w:rsid w:val="00B25EEF"/>
    <w:rsid w:val="00B33A8D"/>
    <w:rsid w:val="00B45963"/>
    <w:rsid w:val="00B529DB"/>
    <w:rsid w:val="00B63A80"/>
    <w:rsid w:val="00BD6B62"/>
    <w:rsid w:val="00BE0123"/>
    <w:rsid w:val="00BE3F87"/>
    <w:rsid w:val="00BF03C5"/>
    <w:rsid w:val="00BF1F78"/>
    <w:rsid w:val="00BF6222"/>
    <w:rsid w:val="00C06AD2"/>
    <w:rsid w:val="00C128A7"/>
    <w:rsid w:val="00C2178A"/>
    <w:rsid w:val="00C21B48"/>
    <w:rsid w:val="00C24ED5"/>
    <w:rsid w:val="00C2582E"/>
    <w:rsid w:val="00C30028"/>
    <w:rsid w:val="00C40C0D"/>
    <w:rsid w:val="00C40E60"/>
    <w:rsid w:val="00C44109"/>
    <w:rsid w:val="00C82312"/>
    <w:rsid w:val="00C8694E"/>
    <w:rsid w:val="00C9583C"/>
    <w:rsid w:val="00CD0E24"/>
    <w:rsid w:val="00CE04EB"/>
    <w:rsid w:val="00D01F97"/>
    <w:rsid w:val="00D16CAF"/>
    <w:rsid w:val="00D33776"/>
    <w:rsid w:val="00D41D42"/>
    <w:rsid w:val="00D43C05"/>
    <w:rsid w:val="00D5070F"/>
    <w:rsid w:val="00D66F47"/>
    <w:rsid w:val="00D71394"/>
    <w:rsid w:val="00D92366"/>
    <w:rsid w:val="00DA3AD9"/>
    <w:rsid w:val="00DB605E"/>
    <w:rsid w:val="00DD75F5"/>
    <w:rsid w:val="00E36A20"/>
    <w:rsid w:val="00E705D4"/>
    <w:rsid w:val="00E75F30"/>
    <w:rsid w:val="00E914E0"/>
    <w:rsid w:val="00EB2D3C"/>
    <w:rsid w:val="00EE1100"/>
    <w:rsid w:val="00EE5677"/>
    <w:rsid w:val="00EF560C"/>
    <w:rsid w:val="00F07F7B"/>
    <w:rsid w:val="00F1235B"/>
    <w:rsid w:val="00F12FB1"/>
    <w:rsid w:val="00F16087"/>
    <w:rsid w:val="00F31DDF"/>
    <w:rsid w:val="00F55CBD"/>
    <w:rsid w:val="00F642BF"/>
    <w:rsid w:val="00F66591"/>
    <w:rsid w:val="00F666B2"/>
    <w:rsid w:val="00F67568"/>
    <w:rsid w:val="00F86145"/>
    <w:rsid w:val="00FA3841"/>
    <w:rsid w:val="00FB68B1"/>
    <w:rsid w:val="00FC10D7"/>
    <w:rsid w:val="00FD517F"/>
    <w:rsid w:val="00FF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58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455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4455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44558"/>
    <w:rPr>
      <w:rFonts w:eastAsiaTheme="minorEastAsia"/>
      <w:kern w:val="2"/>
      <w:sz w:val="21"/>
    </w:rPr>
  </w:style>
  <w:style w:type="paragraph" w:styleId="a5">
    <w:name w:val="Balloon Text"/>
    <w:basedOn w:val="a"/>
    <w:link w:val="Char0"/>
    <w:uiPriority w:val="99"/>
    <w:semiHidden/>
    <w:unhideWhenUsed/>
    <w:rsid w:val="0004455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44558"/>
    <w:rPr>
      <w:rFonts w:eastAsiaTheme="minorEastAsia"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D5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D5627"/>
    <w:rPr>
      <w:rFonts w:eastAsiaTheme="minorEastAsia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D5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D5627"/>
    <w:rPr>
      <w:rFonts w:eastAsiaTheme="minorEastAsia"/>
      <w:kern w:val="2"/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5B7907"/>
    <w:rPr>
      <w:b/>
      <w:bCs/>
    </w:rPr>
  </w:style>
  <w:style w:type="character" w:customStyle="1" w:styleId="Char3">
    <w:name w:val="批注主题 Char"/>
    <w:basedOn w:val="Char"/>
    <w:link w:val="a8"/>
    <w:uiPriority w:val="99"/>
    <w:semiHidden/>
    <w:rsid w:val="005B7907"/>
    <w:rPr>
      <w:rFonts w:eastAsiaTheme="minorEastAsia"/>
      <w:b/>
      <w:bCs/>
      <w:kern w:val="2"/>
      <w:sz w:val="21"/>
    </w:rPr>
  </w:style>
  <w:style w:type="paragraph" w:styleId="a9">
    <w:name w:val="Revision"/>
    <w:hidden/>
    <w:uiPriority w:val="99"/>
    <w:semiHidden/>
    <w:rsid w:val="005B7907"/>
    <w:pPr>
      <w:spacing w:after="0" w:line="240" w:lineRule="auto"/>
    </w:pPr>
    <w:rPr>
      <w:rFonts w:eastAsiaTheme="minorEastAsia"/>
      <w:kern w:val="2"/>
      <w:sz w:val="21"/>
    </w:rPr>
  </w:style>
  <w:style w:type="paragraph" w:customStyle="1" w:styleId="Default">
    <w:name w:val="Default"/>
    <w:rsid w:val="00670A6D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eastAsia="仿宋_GB2312" w:cs="仿宋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84D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5389">
                          <w:marLeft w:val="0"/>
                          <w:marRight w:val="0"/>
                          <w:marTop w:val="1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9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87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6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李蕊伶</dc:creator>
  <cp:lastModifiedBy>黄怡静</cp:lastModifiedBy>
  <cp:revision>3</cp:revision>
  <cp:lastPrinted>2017-05-17T01:50:00Z</cp:lastPrinted>
  <dcterms:created xsi:type="dcterms:W3CDTF">2017-05-17T01:51:00Z</dcterms:created>
  <dcterms:modified xsi:type="dcterms:W3CDTF">2017-05-17T02:17:00Z</dcterms:modified>
</cp:coreProperties>
</file>