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2E708B" w14:textId="568859A2" w:rsidR="00D31557" w:rsidRDefault="00CF6911" w:rsidP="004470CC">
      <w:pPr>
        <w:jc w:val="center"/>
        <w:rPr>
          <w:rFonts w:eastAsia="仿宋_GB2312"/>
          <w:b/>
          <w:sz w:val="24"/>
        </w:rPr>
      </w:pPr>
      <w:r w:rsidRPr="00CF6911">
        <w:rPr>
          <w:rFonts w:eastAsia="仿宋_GB2312" w:hint="eastAsia"/>
          <w:b/>
          <w:sz w:val="24"/>
        </w:rPr>
        <w:t>长江金色扬帆</w:t>
      </w:r>
      <w:r w:rsidRPr="00CF6911">
        <w:rPr>
          <w:rFonts w:eastAsia="仿宋_GB2312" w:hint="eastAsia"/>
          <w:b/>
          <w:sz w:val="24"/>
        </w:rPr>
        <w:t>1</w:t>
      </w:r>
      <w:r w:rsidRPr="00CF6911">
        <w:rPr>
          <w:rFonts w:eastAsia="仿宋_GB2312" w:hint="eastAsia"/>
          <w:b/>
          <w:sz w:val="24"/>
        </w:rPr>
        <w:t>号股票型养老金产品</w:t>
      </w:r>
      <w:r w:rsidR="00D31557" w:rsidRPr="00D31557">
        <w:rPr>
          <w:rFonts w:eastAsia="仿宋_GB2312" w:hint="eastAsia"/>
          <w:b/>
          <w:sz w:val="24"/>
        </w:rPr>
        <w:t>发售公告</w:t>
      </w:r>
    </w:p>
    <w:p w14:paraId="4007D3BE" w14:textId="77777777" w:rsidR="002D0AC1" w:rsidRPr="004470CC" w:rsidRDefault="002D0AC1" w:rsidP="004470CC">
      <w:pPr>
        <w:jc w:val="center"/>
        <w:rPr>
          <w:rFonts w:eastAsia="仿宋_GB2312" w:hint="eastAsia"/>
          <w:b/>
          <w:sz w:val="24"/>
        </w:rPr>
      </w:pPr>
    </w:p>
    <w:tbl>
      <w:tblPr>
        <w:tblW w:w="89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7113"/>
      </w:tblGrid>
      <w:tr w:rsidR="00D31557" w:rsidRPr="002D0AC1" w14:paraId="5D73C231" w14:textId="77777777" w:rsidTr="00E028A1">
        <w:trPr>
          <w:trHeight w:hRule="exact" w:val="492"/>
        </w:trPr>
        <w:tc>
          <w:tcPr>
            <w:tcW w:w="1809" w:type="dxa"/>
            <w:vAlign w:val="center"/>
            <w:hideMark/>
          </w:tcPr>
          <w:p w14:paraId="54A03B0C" w14:textId="77777777" w:rsidR="00D31557" w:rsidRPr="002D0AC1" w:rsidRDefault="00D31557" w:rsidP="002D0AC1">
            <w:pPr>
              <w:rPr>
                <w:rFonts w:ascii="仿宋" w:eastAsia="仿宋" w:hAnsi="仿宋"/>
                <w:b/>
                <w:szCs w:val="21"/>
              </w:rPr>
            </w:pPr>
            <w:r w:rsidRPr="002D0AC1">
              <w:rPr>
                <w:rFonts w:ascii="仿宋" w:eastAsia="仿宋" w:hAnsi="仿宋" w:hint="eastAsia"/>
                <w:b/>
                <w:szCs w:val="21"/>
              </w:rPr>
              <w:t>产品批复函号</w:t>
            </w:r>
          </w:p>
        </w:tc>
        <w:tc>
          <w:tcPr>
            <w:tcW w:w="7113" w:type="dxa"/>
            <w:vAlign w:val="center"/>
            <w:hideMark/>
          </w:tcPr>
          <w:p w14:paraId="22060ED5" w14:textId="358C8B0B" w:rsidR="00D31557" w:rsidRPr="002D0AC1" w:rsidRDefault="00CF6911" w:rsidP="002D0AC1">
            <w:pPr>
              <w:rPr>
                <w:rFonts w:ascii="仿宋" w:eastAsia="仿宋" w:hAnsi="仿宋"/>
                <w:szCs w:val="21"/>
              </w:rPr>
            </w:pPr>
            <w:r w:rsidRPr="002D0AC1">
              <w:rPr>
                <w:rFonts w:ascii="仿宋" w:eastAsia="仿宋" w:hAnsi="仿宋"/>
                <w:szCs w:val="21"/>
              </w:rPr>
              <w:t>99PF20160298</w:t>
            </w:r>
          </w:p>
        </w:tc>
      </w:tr>
      <w:tr w:rsidR="00D31557" w:rsidRPr="002D0AC1" w14:paraId="2E4B9FF9" w14:textId="77777777" w:rsidTr="00E028A1">
        <w:trPr>
          <w:trHeight w:hRule="exact" w:val="425"/>
        </w:trPr>
        <w:tc>
          <w:tcPr>
            <w:tcW w:w="1809" w:type="dxa"/>
            <w:vAlign w:val="center"/>
            <w:hideMark/>
          </w:tcPr>
          <w:p w14:paraId="3CEDB036" w14:textId="77777777" w:rsidR="00D31557" w:rsidRPr="002D0AC1" w:rsidRDefault="009155AA" w:rsidP="002D0AC1">
            <w:pPr>
              <w:rPr>
                <w:rFonts w:ascii="仿宋" w:eastAsia="仿宋" w:hAnsi="仿宋"/>
                <w:b/>
                <w:szCs w:val="21"/>
              </w:rPr>
            </w:pPr>
            <w:r w:rsidRPr="002D0AC1">
              <w:rPr>
                <w:rFonts w:ascii="仿宋" w:eastAsia="仿宋" w:hAnsi="仿宋" w:hint="eastAsia"/>
                <w:b/>
                <w:szCs w:val="21"/>
              </w:rPr>
              <w:t>产品名称</w:t>
            </w:r>
          </w:p>
        </w:tc>
        <w:tc>
          <w:tcPr>
            <w:tcW w:w="7113" w:type="dxa"/>
            <w:vAlign w:val="center"/>
          </w:tcPr>
          <w:p w14:paraId="058DDC5D" w14:textId="3AC70F38" w:rsidR="00D31557" w:rsidRPr="002D0AC1" w:rsidRDefault="00CF6911" w:rsidP="002D0AC1">
            <w:pPr>
              <w:rPr>
                <w:rFonts w:ascii="仿宋" w:eastAsia="仿宋" w:hAnsi="仿宋"/>
                <w:szCs w:val="21"/>
              </w:rPr>
            </w:pPr>
            <w:r w:rsidRPr="002D0AC1">
              <w:rPr>
                <w:rFonts w:ascii="仿宋" w:eastAsia="仿宋" w:hAnsi="仿宋" w:hint="eastAsia"/>
                <w:szCs w:val="21"/>
              </w:rPr>
              <w:t>长江金色扬帆1号股票型养老金产品</w:t>
            </w:r>
          </w:p>
        </w:tc>
      </w:tr>
      <w:tr w:rsidR="00D31557" w:rsidRPr="002D0AC1" w14:paraId="5D463D20" w14:textId="77777777" w:rsidTr="00E028A1">
        <w:trPr>
          <w:trHeight w:hRule="exact" w:val="425"/>
        </w:trPr>
        <w:tc>
          <w:tcPr>
            <w:tcW w:w="1809" w:type="dxa"/>
            <w:vAlign w:val="center"/>
          </w:tcPr>
          <w:p w14:paraId="2644D22D" w14:textId="77777777" w:rsidR="00D31557" w:rsidRPr="002D0AC1" w:rsidRDefault="00D31557" w:rsidP="002D0AC1">
            <w:pPr>
              <w:rPr>
                <w:rFonts w:ascii="仿宋" w:eastAsia="仿宋" w:hAnsi="仿宋"/>
                <w:b/>
                <w:szCs w:val="21"/>
              </w:rPr>
            </w:pPr>
            <w:r w:rsidRPr="002D0AC1">
              <w:rPr>
                <w:rFonts w:ascii="仿宋" w:eastAsia="仿宋" w:hAnsi="仿宋" w:hint="eastAsia"/>
                <w:b/>
                <w:szCs w:val="21"/>
              </w:rPr>
              <w:t>产品期次</w:t>
            </w:r>
          </w:p>
        </w:tc>
        <w:tc>
          <w:tcPr>
            <w:tcW w:w="7113" w:type="dxa"/>
            <w:vAlign w:val="center"/>
          </w:tcPr>
          <w:p w14:paraId="393FBD19" w14:textId="64C89D3E" w:rsidR="00D31557" w:rsidRPr="002D0AC1" w:rsidRDefault="00CF6911" w:rsidP="002D0AC1">
            <w:pPr>
              <w:rPr>
                <w:rFonts w:ascii="仿宋" w:eastAsia="仿宋" w:hAnsi="仿宋"/>
                <w:szCs w:val="21"/>
              </w:rPr>
            </w:pPr>
            <w:r w:rsidRPr="002D0AC1">
              <w:rPr>
                <w:rFonts w:ascii="仿宋" w:eastAsia="仿宋" w:hAnsi="仿宋" w:hint="eastAsia"/>
                <w:szCs w:val="21"/>
              </w:rPr>
              <w:t>长江金色扬帆1号股票型养老金产品</w:t>
            </w:r>
          </w:p>
        </w:tc>
      </w:tr>
      <w:tr w:rsidR="00E31749" w:rsidRPr="002D0AC1" w14:paraId="36803CC1" w14:textId="77777777" w:rsidTr="00E028A1">
        <w:trPr>
          <w:trHeight w:hRule="exact" w:val="473"/>
        </w:trPr>
        <w:tc>
          <w:tcPr>
            <w:tcW w:w="1809" w:type="dxa"/>
            <w:vAlign w:val="center"/>
            <w:hideMark/>
          </w:tcPr>
          <w:p w14:paraId="6AA3D4AE" w14:textId="77777777" w:rsidR="00E31749" w:rsidRPr="002D0AC1" w:rsidRDefault="00E31749" w:rsidP="002D0AC1">
            <w:pPr>
              <w:rPr>
                <w:rFonts w:ascii="仿宋" w:eastAsia="仿宋" w:hAnsi="仿宋"/>
                <w:b/>
                <w:szCs w:val="21"/>
              </w:rPr>
            </w:pPr>
            <w:r w:rsidRPr="002D0AC1">
              <w:rPr>
                <w:rFonts w:ascii="仿宋" w:eastAsia="仿宋" w:hAnsi="仿宋" w:hint="eastAsia"/>
                <w:b/>
                <w:szCs w:val="21"/>
              </w:rPr>
              <w:t>产品类型</w:t>
            </w:r>
          </w:p>
        </w:tc>
        <w:tc>
          <w:tcPr>
            <w:tcW w:w="7113" w:type="dxa"/>
            <w:vAlign w:val="center"/>
            <w:hideMark/>
          </w:tcPr>
          <w:p w14:paraId="1E7CD83C" w14:textId="0D5D99E0" w:rsidR="00E31749" w:rsidRPr="002D0AC1" w:rsidRDefault="00CF6911" w:rsidP="002D0AC1">
            <w:pPr>
              <w:rPr>
                <w:rFonts w:ascii="仿宋" w:eastAsia="仿宋" w:hAnsi="仿宋"/>
                <w:szCs w:val="21"/>
              </w:rPr>
            </w:pPr>
            <w:r w:rsidRPr="002D0AC1">
              <w:rPr>
                <w:rFonts w:ascii="仿宋" w:eastAsia="仿宋" w:hAnsi="仿宋" w:hint="eastAsia"/>
                <w:szCs w:val="21"/>
              </w:rPr>
              <w:t>股票</w:t>
            </w:r>
            <w:r w:rsidRPr="002D0AC1">
              <w:rPr>
                <w:rFonts w:ascii="仿宋" w:eastAsia="仿宋" w:hAnsi="仿宋"/>
                <w:szCs w:val="21"/>
              </w:rPr>
              <w:t>型</w:t>
            </w:r>
          </w:p>
        </w:tc>
      </w:tr>
      <w:tr w:rsidR="00E31749" w:rsidRPr="002D0AC1" w14:paraId="2D202EC3" w14:textId="77777777" w:rsidTr="00E028A1">
        <w:trPr>
          <w:trHeight w:hRule="exact" w:val="398"/>
        </w:trPr>
        <w:tc>
          <w:tcPr>
            <w:tcW w:w="1809" w:type="dxa"/>
            <w:shd w:val="clear" w:color="auto" w:fill="FFFFFF"/>
            <w:vAlign w:val="center"/>
          </w:tcPr>
          <w:p w14:paraId="70A79279" w14:textId="77777777" w:rsidR="00E31749" w:rsidRPr="002D0AC1" w:rsidRDefault="00E31749" w:rsidP="002D0AC1">
            <w:pPr>
              <w:rPr>
                <w:rFonts w:ascii="仿宋" w:eastAsia="仿宋" w:hAnsi="仿宋"/>
                <w:b/>
                <w:szCs w:val="21"/>
              </w:rPr>
            </w:pPr>
            <w:r w:rsidRPr="002D0AC1">
              <w:rPr>
                <w:rFonts w:ascii="仿宋" w:eastAsia="仿宋" w:hAnsi="仿宋" w:hint="eastAsia"/>
                <w:b/>
                <w:szCs w:val="21"/>
              </w:rPr>
              <w:t>产品投资管理人</w:t>
            </w:r>
          </w:p>
        </w:tc>
        <w:tc>
          <w:tcPr>
            <w:tcW w:w="7113" w:type="dxa"/>
            <w:shd w:val="clear" w:color="auto" w:fill="FFFFFF"/>
            <w:vAlign w:val="center"/>
          </w:tcPr>
          <w:p w14:paraId="67AB2E68" w14:textId="77777777" w:rsidR="00E31749" w:rsidRPr="002D0AC1" w:rsidRDefault="00E31749" w:rsidP="002D0AC1">
            <w:pPr>
              <w:rPr>
                <w:rFonts w:ascii="仿宋" w:eastAsia="仿宋" w:hAnsi="仿宋"/>
                <w:szCs w:val="21"/>
              </w:rPr>
            </w:pPr>
            <w:r w:rsidRPr="002D0AC1">
              <w:rPr>
                <w:rFonts w:ascii="仿宋" w:eastAsia="仿宋" w:hAnsi="仿宋" w:hint="eastAsia"/>
                <w:szCs w:val="21"/>
              </w:rPr>
              <w:t>长江养老保险股份有限公司</w:t>
            </w:r>
          </w:p>
        </w:tc>
      </w:tr>
      <w:tr w:rsidR="00E31749" w:rsidRPr="002D0AC1" w14:paraId="5D9D6871" w14:textId="77777777" w:rsidTr="00E028A1">
        <w:trPr>
          <w:trHeight w:hRule="exact" w:val="487"/>
        </w:trPr>
        <w:tc>
          <w:tcPr>
            <w:tcW w:w="1809" w:type="dxa"/>
            <w:shd w:val="clear" w:color="auto" w:fill="FFFFFF"/>
            <w:vAlign w:val="center"/>
          </w:tcPr>
          <w:p w14:paraId="46AEC6A8" w14:textId="77777777" w:rsidR="00E31749" w:rsidRPr="002D0AC1" w:rsidRDefault="00E31749" w:rsidP="002D0AC1">
            <w:pPr>
              <w:rPr>
                <w:rFonts w:ascii="仿宋" w:eastAsia="仿宋" w:hAnsi="仿宋"/>
                <w:b/>
                <w:szCs w:val="21"/>
              </w:rPr>
            </w:pPr>
            <w:r w:rsidRPr="002D0AC1">
              <w:rPr>
                <w:rFonts w:ascii="仿宋" w:eastAsia="仿宋" w:hAnsi="仿宋" w:hint="eastAsia"/>
                <w:b/>
                <w:szCs w:val="21"/>
              </w:rPr>
              <w:t>注册登记人</w:t>
            </w:r>
          </w:p>
        </w:tc>
        <w:tc>
          <w:tcPr>
            <w:tcW w:w="7113" w:type="dxa"/>
            <w:shd w:val="clear" w:color="auto" w:fill="FFFFFF"/>
            <w:vAlign w:val="center"/>
          </w:tcPr>
          <w:p w14:paraId="3A07F060" w14:textId="77777777" w:rsidR="00E31749" w:rsidRPr="002D0AC1" w:rsidRDefault="00E31749" w:rsidP="002D0AC1">
            <w:pPr>
              <w:rPr>
                <w:rFonts w:ascii="仿宋" w:eastAsia="仿宋" w:hAnsi="仿宋"/>
                <w:szCs w:val="21"/>
              </w:rPr>
            </w:pPr>
            <w:r w:rsidRPr="002D0AC1">
              <w:rPr>
                <w:rFonts w:ascii="仿宋" w:eastAsia="仿宋" w:hAnsi="仿宋" w:hint="eastAsia"/>
                <w:szCs w:val="21"/>
              </w:rPr>
              <w:t>长江养老保险股份有限公司</w:t>
            </w:r>
          </w:p>
        </w:tc>
      </w:tr>
      <w:tr w:rsidR="00E31749" w:rsidRPr="002D0AC1" w14:paraId="1A06779F" w14:textId="77777777" w:rsidTr="00E028A1">
        <w:trPr>
          <w:trHeight w:hRule="exact" w:val="487"/>
        </w:trPr>
        <w:tc>
          <w:tcPr>
            <w:tcW w:w="1809" w:type="dxa"/>
            <w:shd w:val="clear" w:color="auto" w:fill="FFFFFF"/>
            <w:vAlign w:val="center"/>
          </w:tcPr>
          <w:p w14:paraId="7ABCA185" w14:textId="77777777" w:rsidR="00E31749" w:rsidRPr="002D0AC1" w:rsidRDefault="00E31749" w:rsidP="002D0AC1">
            <w:pPr>
              <w:rPr>
                <w:rFonts w:ascii="仿宋" w:eastAsia="仿宋" w:hAnsi="仿宋"/>
                <w:b/>
                <w:szCs w:val="21"/>
              </w:rPr>
            </w:pPr>
            <w:r w:rsidRPr="002D0AC1">
              <w:rPr>
                <w:rFonts w:ascii="仿宋" w:eastAsia="仿宋" w:hAnsi="仿宋" w:hint="eastAsia"/>
                <w:b/>
                <w:szCs w:val="21"/>
              </w:rPr>
              <w:t>托管人</w:t>
            </w:r>
          </w:p>
        </w:tc>
        <w:tc>
          <w:tcPr>
            <w:tcW w:w="7113" w:type="dxa"/>
            <w:shd w:val="clear" w:color="auto" w:fill="FFFFFF"/>
            <w:vAlign w:val="center"/>
          </w:tcPr>
          <w:p w14:paraId="318D6FCA" w14:textId="77777777" w:rsidR="00E31749" w:rsidRPr="002D0AC1" w:rsidRDefault="00E31749" w:rsidP="002D0AC1">
            <w:pPr>
              <w:rPr>
                <w:rFonts w:ascii="仿宋" w:eastAsia="仿宋" w:hAnsi="仿宋"/>
                <w:szCs w:val="21"/>
              </w:rPr>
            </w:pPr>
            <w:r w:rsidRPr="002D0AC1">
              <w:rPr>
                <w:rFonts w:ascii="仿宋" w:eastAsia="仿宋" w:hAnsi="仿宋" w:hint="eastAsia"/>
                <w:szCs w:val="21"/>
              </w:rPr>
              <w:t>上海浦东发展银行上海分行</w:t>
            </w:r>
          </w:p>
        </w:tc>
      </w:tr>
      <w:tr w:rsidR="00E31749" w:rsidRPr="002D0AC1" w14:paraId="1FFB8D51" w14:textId="77777777" w:rsidTr="00EC4D36">
        <w:trPr>
          <w:trHeight w:hRule="exact" w:val="575"/>
        </w:trPr>
        <w:tc>
          <w:tcPr>
            <w:tcW w:w="1809" w:type="dxa"/>
            <w:shd w:val="clear" w:color="auto" w:fill="FFFFFF"/>
            <w:vAlign w:val="center"/>
          </w:tcPr>
          <w:p w14:paraId="0527BD12" w14:textId="77777777" w:rsidR="00E31749" w:rsidRPr="002D0AC1" w:rsidRDefault="00E31749" w:rsidP="002D0AC1">
            <w:pPr>
              <w:rPr>
                <w:rFonts w:ascii="仿宋" w:eastAsia="仿宋" w:hAnsi="仿宋"/>
                <w:b/>
                <w:szCs w:val="21"/>
              </w:rPr>
            </w:pPr>
            <w:r w:rsidRPr="002D0AC1">
              <w:rPr>
                <w:rFonts w:ascii="仿宋" w:eastAsia="仿宋" w:hAnsi="仿宋"/>
                <w:b/>
                <w:szCs w:val="21"/>
              </w:rPr>
              <w:t>适用投资者</w:t>
            </w:r>
          </w:p>
        </w:tc>
        <w:tc>
          <w:tcPr>
            <w:tcW w:w="7113" w:type="dxa"/>
            <w:shd w:val="clear" w:color="auto" w:fill="FFFFFF"/>
            <w:vAlign w:val="center"/>
          </w:tcPr>
          <w:p w14:paraId="608D18C1" w14:textId="5B90CC33" w:rsidR="00E31749" w:rsidRPr="002D0AC1" w:rsidRDefault="00EC4D36" w:rsidP="00EC4D36">
            <w:pPr>
              <w:rPr>
                <w:rFonts w:ascii="仿宋" w:eastAsia="仿宋" w:hAnsi="仿宋" w:hint="eastAsia"/>
                <w:szCs w:val="21"/>
              </w:rPr>
            </w:pPr>
            <w:r>
              <w:rPr>
                <w:rFonts w:ascii="仿宋" w:eastAsia="仿宋" w:hAnsi="仿宋" w:hint="eastAsia"/>
                <w:szCs w:val="21"/>
              </w:rPr>
              <w:t>能承受较高权益</w:t>
            </w:r>
            <w:r>
              <w:rPr>
                <w:rFonts w:ascii="仿宋" w:eastAsia="仿宋" w:hAnsi="仿宋"/>
                <w:szCs w:val="21"/>
              </w:rPr>
              <w:t>市场波动</w:t>
            </w:r>
            <w:r>
              <w:rPr>
                <w:rFonts w:ascii="仿宋" w:eastAsia="仿宋" w:hAnsi="仿宋" w:hint="eastAsia"/>
                <w:szCs w:val="21"/>
              </w:rPr>
              <w:t>和</w:t>
            </w:r>
            <w:r>
              <w:rPr>
                <w:rFonts w:ascii="仿宋" w:eastAsia="仿宋" w:hAnsi="仿宋"/>
                <w:szCs w:val="21"/>
              </w:rPr>
              <w:t>风险的年</w:t>
            </w:r>
            <w:r>
              <w:rPr>
                <w:rFonts w:ascii="仿宋" w:eastAsia="仿宋" w:hAnsi="仿宋" w:hint="eastAsia"/>
                <w:szCs w:val="21"/>
              </w:rPr>
              <w:t>金</w:t>
            </w:r>
            <w:r>
              <w:rPr>
                <w:rFonts w:ascii="仿宋" w:eastAsia="仿宋" w:hAnsi="仿宋"/>
                <w:szCs w:val="21"/>
              </w:rPr>
              <w:t>投资人。</w:t>
            </w:r>
          </w:p>
        </w:tc>
      </w:tr>
      <w:tr w:rsidR="00EF5AB7" w:rsidRPr="002D0AC1" w14:paraId="54B58AEF" w14:textId="77777777" w:rsidTr="00EC4D36">
        <w:trPr>
          <w:trHeight w:hRule="exact" w:val="838"/>
        </w:trPr>
        <w:tc>
          <w:tcPr>
            <w:tcW w:w="1809" w:type="dxa"/>
            <w:vAlign w:val="center"/>
          </w:tcPr>
          <w:p w14:paraId="106910CE" w14:textId="77777777" w:rsidR="00EF5AB7" w:rsidRPr="002D0AC1" w:rsidRDefault="00EF5AB7" w:rsidP="002D0AC1">
            <w:pPr>
              <w:rPr>
                <w:rFonts w:ascii="仿宋" w:eastAsia="仿宋" w:hAnsi="仿宋"/>
                <w:b/>
                <w:szCs w:val="21"/>
              </w:rPr>
            </w:pPr>
            <w:r w:rsidRPr="002D0AC1">
              <w:rPr>
                <w:rFonts w:ascii="仿宋" w:eastAsia="仿宋" w:hAnsi="仿宋" w:hint="eastAsia"/>
                <w:b/>
                <w:szCs w:val="21"/>
              </w:rPr>
              <w:t>风险收益特征</w:t>
            </w:r>
          </w:p>
        </w:tc>
        <w:tc>
          <w:tcPr>
            <w:tcW w:w="7113" w:type="dxa"/>
            <w:vAlign w:val="center"/>
          </w:tcPr>
          <w:p w14:paraId="29B6610A" w14:textId="543FC2F3" w:rsidR="00EF5AB7" w:rsidRPr="002D0AC1" w:rsidRDefault="00CF6911" w:rsidP="002D0AC1">
            <w:pPr>
              <w:rPr>
                <w:rFonts w:ascii="仿宋" w:eastAsia="仿宋" w:hAnsi="仿宋"/>
                <w:szCs w:val="21"/>
              </w:rPr>
            </w:pPr>
            <w:r w:rsidRPr="002D0AC1">
              <w:rPr>
                <w:rFonts w:ascii="仿宋" w:eastAsia="仿宋" w:hAnsi="仿宋" w:hint="eastAsia"/>
                <w:szCs w:val="21"/>
              </w:rPr>
              <w:t>本产品属于权益类产品，</w:t>
            </w:r>
            <w:r w:rsidR="00EC4D36">
              <w:rPr>
                <w:rFonts w:ascii="仿宋" w:eastAsia="仿宋" w:hAnsi="仿宋" w:hint="eastAsia"/>
                <w:szCs w:val="21"/>
              </w:rPr>
              <w:t>风险</w:t>
            </w:r>
            <w:r w:rsidR="00EC4D36">
              <w:rPr>
                <w:rFonts w:ascii="仿宋" w:eastAsia="仿宋" w:hAnsi="仿宋"/>
                <w:szCs w:val="21"/>
              </w:rPr>
              <w:t>等级为</w:t>
            </w:r>
            <w:r w:rsidR="00EC4D36">
              <w:rPr>
                <w:rFonts w:ascii="仿宋" w:eastAsia="仿宋" w:hAnsi="仿宋" w:hint="eastAsia"/>
                <w:szCs w:val="21"/>
              </w:rPr>
              <w:t>中高风险</w:t>
            </w:r>
            <w:r w:rsidR="00EC4D36">
              <w:rPr>
                <w:rFonts w:ascii="仿宋" w:eastAsia="仿宋" w:hAnsi="仿宋"/>
                <w:szCs w:val="21"/>
              </w:rPr>
              <w:t>，</w:t>
            </w:r>
            <w:r w:rsidRPr="002D0AC1">
              <w:rPr>
                <w:rFonts w:ascii="仿宋" w:eastAsia="仿宋" w:hAnsi="仿宋" w:hint="eastAsia"/>
                <w:szCs w:val="21"/>
              </w:rPr>
              <w:t>预期风险和预期收益高于固定收益类产品。</w:t>
            </w:r>
          </w:p>
        </w:tc>
      </w:tr>
      <w:tr w:rsidR="00E31749" w:rsidRPr="002D0AC1" w14:paraId="111A74BE" w14:textId="77777777" w:rsidTr="00E028A1">
        <w:trPr>
          <w:trHeight w:hRule="exact" w:val="487"/>
        </w:trPr>
        <w:tc>
          <w:tcPr>
            <w:tcW w:w="1809" w:type="dxa"/>
            <w:vAlign w:val="center"/>
            <w:hideMark/>
          </w:tcPr>
          <w:p w14:paraId="539FC58B" w14:textId="77777777" w:rsidR="00E31749" w:rsidRPr="002D0AC1" w:rsidRDefault="00E31749" w:rsidP="002D0AC1">
            <w:pPr>
              <w:rPr>
                <w:rFonts w:ascii="仿宋" w:eastAsia="仿宋" w:hAnsi="仿宋"/>
                <w:b/>
                <w:szCs w:val="21"/>
              </w:rPr>
            </w:pPr>
            <w:r w:rsidRPr="002D0AC1">
              <w:rPr>
                <w:rFonts w:ascii="仿宋" w:eastAsia="仿宋" w:hAnsi="仿宋" w:hint="eastAsia"/>
                <w:b/>
                <w:szCs w:val="21"/>
              </w:rPr>
              <w:t>期限</w:t>
            </w:r>
          </w:p>
        </w:tc>
        <w:tc>
          <w:tcPr>
            <w:tcW w:w="7113" w:type="dxa"/>
            <w:vAlign w:val="center"/>
            <w:hideMark/>
          </w:tcPr>
          <w:p w14:paraId="336A53B7" w14:textId="1B463EFB" w:rsidR="00E31749" w:rsidRPr="002D0AC1" w:rsidRDefault="00CF6911" w:rsidP="002D0AC1">
            <w:pPr>
              <w:rPr>
                <w:rFonts w:ascii="仿宋" w:eastAsia="仿宋" w:hAnsi="仿宋" w:hint="eastAsia"/>
                <w:szCs w:val="21"/>
              </w:rPr>
            </w:pPr>
            <w:r w:rsidRPr="002D0AC1">
              <w:rPr>
                <w:rFonts w:ascii="仿宋" w:eastAsia="仿宋" w:hAnsi="仿宋" w:hint="eastAsia"/>
                <w:szCs w:val="21"/>
              </w:rPr>
              <w:t>长期存续</w:t>
            </w:r>
            <w:bookmarkStart w:id="0" w:name="_GoBack"/>
            <w:bookmarkEnd w:id="0"/>
          </w:p>
        </w:tc>
      </w:tr>
      <w:tr w:rsidR="00E31749" w:rsidRPr="002D0AC1" w14:paraId="0A327247" w14:textId="77777777" w:rsidTr="00E028A1">
        <w:trPr>
          <w:trHeight w:hRule="exact" w:val="804"/>
        </w:trPr>
        <w:tc>
          <w:tcPr>
            <w:tcW w:w="1809" w:type="dxa"/>
            <w:vAlign w:val="center"/>
            <w:hideMark/>
          </w:tcPr>
          <w:p w14:paraId="3EFD47A8" w14:textId="77777777" w:rsidR="00E31749" w:rsidRPr="002D0AC1" w:rsidRDefault="00E31749" w:rsidP="002D0AC1">
            <w:pPr>
              <w:rPr>
                <w:rFonts w:ascii="仿宋" w:eastAsia="仿宋" w:hAnsi="仿宋"/>
                <w:b/>
                <w:szCs w:val="21"/>
              </w:rPr>
            </w:pPr>
            <w:r w:rsidRPr="002D0AC1">
              <w:rPr>
                <w:rFonts w:ascii="仿宋" w:eastAsia="仿宋" w:hAnsi="仿宋" w:hint="eastAsia"/>
                <w:b/>
                <w:szCs w:val="21"/>
              </w:rPr>
              <w:t>业绩基准</w:t>
            </w:r>
          </w:p>
        </w:tc>
        <w:tc>
          <w:tcPr>
            <w:tcW w:w="7113" w:type="dxa"/>
            <w:vAlign w:val="center"/>
            <w:hideMark/>
          </w:tcPr>
          <w:p w14:paraId="15B2DF6F" w14:textId="3D504260" w:rsidR="00E31749" w:rsidRPr="002D0AC1" w:rsidRDefault="00CF6911" w:rsidP="002D0AC1">
            <w:pPr>
              <w:rPr>
                <w:rFonts w:ascii="仿宋" w:eastAsia="仿宋" w:hAnsi="仿宋"/>
                <w:szCs w:val="21"/>
              </w:rPr>
            </w:pPr>
            <w:r w:rsidRPr="002D0AC1">
              <w:rPr>
                <w:rFonts w:ascii="仿宋" w:eastAsia="仿宋" w:hAnsi="仿宋" w:hint="eastAsia"/>
                <w:szCs w:val="21"/>
              </w:rPr>
              <w:t>80％×沪深300指数收益率＋15％×中债综合全价指数收益率＋5%×银行七天通知存款利率。</w:t>
            </w:r>
          </w:p>
        </w:tc>
      </w:tr>
      <w:tr w:rsidR="00E31749" w:rsidRPr="002D0AC1" w14:paraId="08F478C9" w14:textId="77777777" w:rsidTr="00E028A1">
        <w:trPr>
          <w:trHeight w:hRule="exact" w:val="579"/>
        </w:trPr>
        <w:tc>
          <w:tcPr>
            <w:tcW w:w="1809" w:type="dxa"/>
            <w:vAlign w:val="center"/>
            <w:hideMark/>
          </w:tcPr>
          <w:p w14:paraId="3AE75285" w14:textId="77777777" w:rsidR="00E31749" w:rsidRPr="002D0AC1" w:rsidRDefault="00E31749" w:rsidP="002D0AC1">
            <w:pPr>
              <w:rPr>
                <w:rFonts w:ascii="仿宋" w:eastAsia="仿宋" w:hAnsi="仿宋"/>
                <w:b/>
                <w:szCs w:val="21"/>
              </w:rPr>
            </w:pPr>
            <w:r w:rsidRPr="002D0AC1">
              <w:rPr>
                <w:rFonts w:ascii="仿宋" w:eastAsia="仿宋" w:hAnsi="仿宋" w:hint="eastAsia"/>
                <w:b/>
                <w:szCs w:val="21"/>
              </w:rPr>
              <w:t>募集期</w:t>
            </w:r>
          </w:p>
        </w:tc>
        <w:tc>
          <w:tcPr>
            <w:tcW w:w="7113" w:type="dxa"/>
            <w:vAlign w:val="center"/>
            <w:hideMark/>
          </w:tcPr>
          <w:p w14:paraId="575592FB" w14:textId="6181DED4" w:rsidR="00E31749" w:rsidRPr="002D0AC1" w:rsidRDefault="00E31749" w:rsidP="002D0AC1">
            <w:pPr>
              <w:rPr>
                <w:rFonts w:ascii="仿宋" w:eastAsia="仿宋" w:hAnsi="仿宋"/>
                <w:szCs w:val="21"/>
              </w:rPr>
            </w:pPr>
            <w:r w:rsidRPr="002D0AC1">
              <w:rPr>
                <w:rFonts w:ascii="仿宋" w:eastAsia="仿宋" w:hAnsi="仿宋" w:hint="eastAsia"/>
                <w:szCs w:val="21"/>
              </w:rPr>
              <w:t>2019年</w:t>
            </w:r>
            <w:r w:rsidR="007E1441" w:rsidRPr="002D0AC1">
              <w:rPr>
                <w:rFonts w:ascii="仿宋" w:eastAsia="仿宋" w:hAnsi="仿宋"/>
                <w:szCs w:val="21"/>
              </w:rPr>
              <w:t>9</w:t>
            </w:r>
            <w:r w:rsidRPr="002D0AC1">
              <w:rPr>
                <w:rFonts w:ascii="仿宋" w:eastAsia="仿宋" w:hAnsi="仿宋" w:hint="eastAsia"/>
                <w:szCs w:val="21"/>
              </w:rPr>
              <w:t>月</w:t>
            </w:r>
            <w:r w:rsidR="00276E86" w:rsidRPr="002D0AC1">
              <w:rPr>
                <w:rFonts w:ascii="仿宋" w:eastAsia="仿宋" w:hAnsi="仿宋"/>
                <w:szCs w:val="21"/>
              </w:rPr>
              <w:t>1</w:t>
            </w:r>
            <w:r w:rsidR="00CF6911" w:rsidRPr="002D0AC1">
              <w:rPr>
                <w:rFonts w:ascii="仿宋" w:eastAsia="仿宋" w:hAnsi="仿宋"/>
                <w:szCs w:val="21"/>
              </w:rPr>
              <w:t>2</w:t>
            </w:r>
            <w:r w:rsidR="00A90BBE" w:rsidRPr="002D0AC1">
              <w:rPr>
                <w:rFonts w:ascii="仿宋" w:eastAsia="仿宋" w:hAnsi="仿宋" w:hint="eastAsia"/>
                <w:szCs w:val="21"/>
              </w:rPr>
              <w:t>日</w:t>
            </w:r>
          </w:p>
        </w:tc>
      </w:tr>
      <w:tr w:rsidR="00CF6911" w:rsidRPr="002D0AC1" w14:paraId="1B22067D" w14:textId="77777777" w:rsidTr="00E028A1">
        <w:trPr>
          <w:trHeight w:hRule="exact" w:val="489"/>
        </w:trPr>
        <w:tc>
          <w:tcPr>
            <w:tcW w:w="1809" w:type="dxa"/>
            <w:vAlign w:val="center"/>
          </w:tcPr>
          <w:p w14:paraId="1BA0354F" w14:textId="057D08DE" w:rsidR="00CF6911" w:rsidRPr="002D0AC1" w:rsidRDefault="00CF6911" w:rsidP="002D0AC1">
            <w:pPr>
              <w:rPr>
                <w:rFonts w:ascii="仿宋" w:eastAsia="仿宋" w:hAnsi="仿宋" w:hint="eastAsia"/>
                <w:b/>
                <w:szCs w:val="21"/>
              </w:rPr>
            </w:pPr>
            <w:r w:rsidRPr="002D0AC1">
              <w:rPr>
                <w:rFonts w:ascii="仿宋" w:eastAsia="仿宋" w:hAnsi="仿宋" w:hint="eastAsia"/>
                <w:b/>
                <w:szCs w:val="21"/>
              </w:rPr>
              <w:t>成立</w:t>
            </w:r>
            <w:r w:rsidRPr="002D0AC1">
              <w:rPr>
                <w:rFonts w:ascii="仿宋" w:eastAsia="仿宋" w:hAnsi="仿宋"/>
                <w:b/>
                <w:szCs w:val="21"/>
              </w:rPr>
              <w:t>日</w:t>
            </w:r>
          </w:p>
        </w:tc>
        <w:tc>
          <w:tcPr>
            <w:tcW w:w="7113" w:type="dxa"/>
            <w:vAlign w:val="center"/>
          </w:tcPr>
          <w:p w14:paraId="6C29D01E" w14:textId="449B5006" w:rsidR="00CF6911" w:rsidRPr="002D0AC1" w:rsidRDefault="00CF6911" w:rsidP="002D0AC1">
            <w:pPr>
              <w:rPr>
                <w:rFonts w:ascii="仿宋" w:eastAsia="仿宋" w:hAnsi="仿宋" w:hint="eastAsia"/>
                <w:szCs w:val="21"/>
              </w:rPr>
            </w:pPr>
            <w:r w:rsidRPr="002D0AC1">
              <w:rPr>
                <w:rFonts w:ascii="仿宋" w:eastAsia="仿宋" w:hAnsi="仿宋" w:hint="eastAsia"/>
                <w:szCs w:val="21"/>
              </w:rPr>
              <w:t>2019年</w:t>
            </w:r>
            <w:r w:rsidRPr="002D0AC1">
              <w:rPr>
                <w:rFonts w:ascii="仿宋" w:eastAsia="仿宋" w:hAnsi="仿宋"/>
                <w:szCs w:val="21"/>
              </w:rPr>
              <w:t>9</w:t>
            </w:r>
            <w:r w:rsidRPr="002D0AC1">
              <w:rPr>
                <w:rFonts w:ascii="仿宋" w:eastAsia="仿宋" w:hAnsi="仿宋" w:hint="eastAsia"/>
                <w:szCs w:val="21"/>
              </w:rPr>
              <w:t>月</w:t>
            </w:r>
            <w:r w:rsidRPr="002D0AC1">
              <w:rPr>
                <w:rFonts w:ascii="仿宋" w:eastAsia="仿宋" w:hAnsi="仿宋"/>
                <w:szCs w:val="21"/>
              </w:rPr>
              <w:t>16</w:t>
            </w:r>
            <w:r w:rsidRPr="002D0AC1">
              <w:rPr>
                <w:rFonts w:ascii="仿宋" w:eastAsia="仿宋" w:hAnsi="仿宋" w:hint="eastAsia"/>
                <w:szCs w:val="21"/>
              </w:rPr>
              <w:t>日</w:t>
            </w:r>
          </w:p>
        </w:tc>
      </w:tr>
      <w:tr w:rsidR="004470CC" w:rsidRPr="002D0AC1" w14:paraId="3CE7FA6A" w14:textId="77777777" w:rsidTr="00E028A1">
        <w:trPr>
          <w:trHeight w:hRule="exact" w:val="489"/>
        </w:trPr>
        <w:tc>
          <w:tcPr>
            <w:tcW w:w="1809" w:type="dxa"/>
            <w:vAlign w:val="center"/>
            <w:hideMark/>
          </w:tcPr>
          <w:p w14:paraId="25CA6314" w14:textId="77777777" w:rsidR="004470CC" w:rsidRPr="002D0AC1" w:rsidRDefault="004470CC" w:rsidP="002D0AC1">
            <w:pPr>
              <w:rPr>
                <w:rFonts w:ascii="仿宋" w:eastAsia="仿宋" w:hAnsi="仿宋"/>
                <w:b/>
                <w:szCs w:val="21"/>
              </w:rPr>
            </w:pPr>
            <w:r w:rsidRPr="002D0AC1">
              <w:rPr>
                <w:rFonts w:ascii="仿宋" w:eastAsia="仿宋" w:hAnsi="仿宋" w:hint="eastAsia"/>
                <w:b/>
                <w:szCs w:val="21"/>
              </w:rPr>
              <w:t>发行方式</w:t>
            </w:r>
          </w:p>
        </w:tc>
        <w:tc>
          <w:tcPr>
            <w:tcW w:w="7113" w:type="dxa"/>
            <w:vAlign w:val="center"/>
          </w:tcPr>
          <w:p w14:paraId="6047C89C" w14:textId="12CA9EF8" w:rsidR="004470CC" w:rsidRPr="002D0AC1" w:rsidRDefault="004470CC" w:rsidP="002D0AC1">
            <w:pPr>
              <w:rPr>
                <w:rFonts w:ascii="仿宋" w:eastAsia="仿宋" w:hAnsi="仿宋"/>
                <w:szCs w:val="21"/>
              </w:rPr>
            </w:pPr>
            <w:r w:rsidRPr="002D0AC1">
              <w:rPr>
                <w:rFonts w:ascii="仿宋" w:eastAsia="仿宋" w:hAnsi="仿宋" w:hint="eastAsia"/>
                <w:szCs w:val="21"/>
              </w:rPr>
              <w:t>公开发行</w:t>
            </w:r>
          </w:p>
        </w:tc>
      </w:tr>
      <w:tr w:rsidR="009065B7" w:rsidRPr="002D0AC1" w14:paraId="42134F5B" w14:textId="77777777" w:rsidTr="00E028A1">
        <w:trPr>
          <w:trHeight w:hRule="exact" w:val="492"/>
        </w:trPr>
        <w:tc>
          <w:tcPr>
            <w:tcW w:w="1809" w:type="dxa"/>
            <w:vAlign w:val="center"/>
          </w:tcPr>
          <w:p w14:paraId="2A7E8402" w14:textId="77777777" w:rsidR="009065B7" w:rsidRPr="002D0AC1" w:rsidRDefault="009065B7" w:rsidP="002D0AC1">
            <w:pPr>
              <w:rPr>
                <w:rFonts w:ascii="仿宋" w:eastAsia="仿宋" w:hAnsi="仿宋"/>
                <w:b/>
                <w:szCs w:val="21"/>
              </w:rPr>
            </w:pPr>
            <w:r w:rsidRPr="002D0AC1">
              <w:rPr>
                <w:rFonts w:ascii="仿宋" w:eastAsia="仿宋" w:hAnsi="仿宋" w:hint="eastAsia"/>
                <w:b/>
                <w:szCs w:val="21"/>
              </w:rPr>
              <w:t>开放性</w:t>
            </w:r>
          </w:p>
        </w:tc>
        <w:tc>
          <w:tcPr>
            <w:tcW w:w="7113" w:type="dxa"/>
            <w:vAlign w:val="center"/>
          </w:tcPr>
          <w:p w14:paraId="21BBF0D8" w14:textId="2E14FCC5" w:rsidR="009065B7" w:rsidRPr="002D0AC1" w:rsidRDefault="00CF6911" w:rsidP="002D0AC1">
            <w:pPr>
              <w:rPr>
                <w:rFonts w:ascii="仿宋" w:eastAsia="仿宋" w:hAnsi="仿宋" w:hint="eastAsia"/>
                <w:szCs w:val="21"/>
              </w:rPr>
            </w:pPr>
            <w:r w:rsidRPr="002D0AC1">
              <w:rPr>
                <w:rFonts w:ascii="仿宋" w:eastAsia="仿宋" w:hAnsi="仿宋" w:hint="eastAsia"/>
                <w:szCs w:val="21"/>
              </w:rPr>
              <w:t>开放式</w:t>
            </w:r>
            <w:r w:rsidRPr="002D0AC1">
              <w:rPr>
                <w:rFonts w:ascii="仿宋" w:eastAsia="仿宋" w:hAnsi="仿宋"/>
                <w:szCs w:val="21"/>
              </w:rPr>
              <w:t>运作</w:t>
            </w:r>
          </w:p>
        </w:tc>
      </w:tr>
      <w:tr w:rsidR="00F833EB" w:rsidRPr="002D0AC1" w14:paraId="15762A8F" w14:textId="77777777" w:rsidTr="00E028A1">
        <w:trPr>
          <w:trHeight w:hRule="exact" w:val="492"/>
        </w:trPr>
        <w:tc>
          <w:tcPr>
            <w:tcW w:w="1809" w:type="dxa"/>
            <w:vAlign w:val="center"/>
          </w:tcPr>
          <w:p w14:paraId="4C7950F3" w14:textId="2972FD7F" w:rsidR="00F833EB" w:rsidRPr="002D0AC1" w:rsidRDefault="00F833EB" w:rsidP="00F833EB">
            <w:pPr>
              <w:rPr>
                <w:rFonts w:ascii="仿宋" w:eastAsia="仿宋" w:hAnsi="仿宋" w:hint="eastAsia"/>
                <w:b/>
                <w:szCs w:val="21"/>
              </w:rPr>
            </w:pPr>
            <w:r w:rsidRPr="002D0AC1">
              <w:rPr>
                <w:rFonts w:ascii="仿宋" w:eastAsia="仿宋" w:hAnsi="仿宋" w:hint="eastAsia"/>
                <w:b/>
                <w:szCs w:val="21"/>
              </w:rPr>
              <w:t>认购起点金额</w:t>
            </w:r>
          </w:p>
        </w:tc>
        <w:tc>
          <w:tcPr>
            <w:tcW w:w="7113" w:type="dxa"/>
            <w:vAlign w:val="center"/>
          </w:tcPr>
          <w:p w14:paraId="65234760" w14:textId="3B73C535" w:rsidR="00F833EB" w:rsidRPr="002D0AC1" w:rsidRDefault="00F833EB" w:rsidP="00F833EB">
            <w:pPr>
              <w:rPr>
                <w:rFonts w:ascii="仿宋" w:eastAsia="仿宋" w:hAnsi="仿宋" w:hint="eastAsia"/>
                <w:szCs w:val="21"/>
              </w:rPr>
            </w:pPr>
            <w:r w:rsidRPr="002D0AC1">
              <w:rPr>
                <w:rFonts w:ascii="仿宋" w:eastAsia="仿宋" w:hAnsi="仿宋" w:hint="eastAsia"/>
                <w:szCs w:val="21"/>
              </w:rPr>
              <w:t>10万元</w:t>
            </w:r>
          </w:p>
        </w:tc>
      </w:tr>
      <w:tr w:rsidR="00F833EB" w:rsidRPr="002D0AC1" w14:paraId="62345E72" w14:textId="77777777" w:rsidTr="00F833EB">
        <w:trPr>
          <w:trHeight w:hRule="exact" w:val="10075"/>
        </w:trPr>
        <w:tc>
          <w:tcPr>
            <w:tcW w:w="1809" w:type="dxa"/>
            <w:vAlign w:val="center"/>
          </w:tcPr>
          <w:p w14:paraId="225DFA07" w14:textId="4E97DD67" w:rsidR="00F833EB" w:rsidRPr="002D0AC1" w:rsidRDefault="00F833EB" w:rsidP="00F833EB">
            <w:pPr>
              <w:rPr>
                <w:rFonts w:ascii="仿宋" w:eastAsia="仿宋" w:hAnsi="仿宋" w:hint="eastAsia"/>
                <w:b/>
                <w:szCs w:val="21"/>
              </w:rPr>
            </w:pPr>
            <w:r>
              <w:rPr>
                <w:rFonts w:ascii="仿宋" w:eastAsia="仿宋" w:hAnsi="仿宋" w:hint="eastAsia"/>
                <w:b/>
                <w:szCs w:val="21"/>
              </w:rPr>
              <w:lastRenderedPageBreak/>
              <w:t>投资</w:t>
            </w:r>
            <w:r>
              <w:rPr>
                <w:rFonts w:ascii="仿宋" w:eastAsia="仿宋" w:hAnsi="仿宋"/>
                <w:b/>
                <w:szCs w:val="21"/>
              </w:rPr>
              <w:t>策略</w:t>
            </w:r>
          </w:p>
        </w:tc>
        <w:tc>
          <w:tcPr>
            <w:tcW w:w="7113" w:type="dxa"/>
            <w:vAlign w:val="center"/>
          </w:tcPr>
          <w:p w14:paraId="44CAFA72" w14:textId="720014BE" w:rsidR="00F833EB" w:rsidRPr="00E028A1" w:rsidRDefault="00F833EB" w:rsidP="00F833EB">
            <w:pPr>
              <w:ind w:firstLineChars="200" w:firstLine="420"/>
              <w:rPr>
                <w:rFonts w:ascii="仿宋" w:eastAsia="仿宋" w:hAnsi="仿宋" w:hint="eastAsia"/>
                <w:szCs w:val="21"/>
              </w:rPr>
            </w:pPr>
            <w:r w:rsidRPr="00E028A1">
              <w:rPr>
                <w:rFonts w:ascii="仿宋" w:eastAsia="仿宋" w:hAnsi="仿宋" w:hint="eastAsia"/>
                <w:szCs w:val="21"/>
              </w:rPr>
              <w:t>（一）资产配置策略及调整原则</w:t>
            </w:r>
          </w:p>
          <w:p w14:paraId="47A62BB6" w14:textId="77777777" w:rsidR="00F833EB" w:rsidRPr="00E028A1" w:rsidRDefault="00F833EB" w:rsidP="00F833EB">
            <w:pPr>
              <w:ind w:firstLineChars="200" w:firstLine="420"/>
              <w:rPr>
                <w:rFonts w:ascii="仿宋" w:eastAsia="仿宋" w:hAnsi="仿宋" w:hint="eastAsia"/>
                <w:szCs w:val="21"/>
              </w:rPr>
            </w:pPr>
            <w:r w:rsidRPr="00E028A1">
              <w:rPr>
                <w:rFonts w:ascii="仿宋" w:eastAsia="仿宋" w:hAnsi="仿宋" w:hint="eastAsia"/>
                <w:szCs w:val="21"/>
              </w:rPr>
              <w:t>本产品采用积极主动管理的资产配置策略，根据全球和中国宏观经济环境，确定不同时期各类标的资产的配置比例。自上而下地进行资产配置，就是通过对全球和中国政治、经济、政策、市场的综合分析决定本投资组合中股票、基金、债券、现金的分配比例。</w:t>
            </w:r>
          </w:p>
          <w:p w14:paraId="6421429C" w14:textId="77777777" w:rsidR="00F833EB" w:rsidRDefault="00F833EB" w:rsidP="00F833EB">
            <w:pPr>
              <w:ind w:firstLineChars="200" w:firstLine="420"/>
              <w:rPr>
                <w:rFonts w:ascii="仿宋" w:eastAsia="仿宋" w:hAnsi="仿宋"/>
                <w:szCs w:val="21"/>
              </w:rPr>
            </w:pPr>
            <w:r w:rsidRPr="00E028A1">
              <w:rPr>
                <w:rFonts w:ascii="仿宋" w:eastAsia="仿宋" w:hAnsi="仿宋" w:hint="eastAsia"/>
                <w:szCs w:val="21"/>
              </w:rPr>
              <w:t>通过对股票的投资，分享中国的经济增长；通过对固定收益和货币类资产的投资，获取相对稳定的收益；通过投资于基金，体现投资团队对经济变化的看法。</w:t>
            </w:r>
          </w:p>
          <w:p w14:paraId="71D33059" w14:textId="77777777" w:rsidR="00F833EB" w:rsidRPr="00E028A1" w:rsidRDefault="00F833EB" w:rsidP="00F833EB">
            <w:pPr>
              <w:ind w:firstLineChars="200" w:firstLine="420"/>
              <w:rPr>
                <w:rFonts w:ascii="仿宋" w:eastAsia="仿宋" w:hAnsi="仿宋" w:hint="eastAsia"/>
                <w:szCs w:val="21"/>
              </w:rPr>
            </w:pPr>
            <w:r w:rsidRPr="00E028A1">
              <w:rPr>
                <w:rFonts w:ascii="仿宋" w:eastAsia="仿宋" w:hAnsi="仿宋" w:hint="eastAsia"/>
                <w:szCs w:val="21"/>
              </w:rPr>
              <w:t>（二）类属资产投资策略</w:t>
            </w:r>
          </w:p>
          <w:p w14:paraId="4DF2C376" w14:textId="77777777" w:rsidR="00F833EB" w:rsidRPr="00E028A1" w:rsidRDefault="00F833EB" w:rsidP="00F833EB">
            <w:pPr>
              <w:ind w:firstLineChars="200" w:firstLine="420"/>
              <w:rPr>
                <w:rFonts w:ascii="仿宋" w:eastAsia="仿宋" w:hAnsi="仿宋" w:hint="eastAsia"/>
                <w:szCs w:val="21"/>
              </w:rPr>
            </w:pPr>
            <w:r w:rsidRPr="00E028A1">
              <w:rPr>
                <w:rFonts w:ascii="仿宋" w:eastAsia="仿宋" w:hAnsi="仿宋" w:hint="eastAsia"/>
                <w:szCs w:val="21"/>
              </w:rPr>
              <w:t>1、股票投资策略</w:t>
            </w:r>
          </w:p>
          <w:p w14:paraId="75416CE4" w14:textId="64A8BDED" w:rsidR="00F833EB" w:rsidRPr="00E028A1" w:rsidRDefault="00F833EB" w:rsidP="00F833EB">
            <w:pPr>
              <w:ind w:firstLineChars="200" w:firstLine="420"/>
              <w:rPr>
                <w:rFonts w:ascii="仿宋" w:eastAsia="仿宋" w:hAnsi="仿宋" w:hint="eastAsia"/>
                <w:szCs w:val="21"/>
              </w:rPr>
            </w:pPr>
            <w:r w:rsidRPr="00E028A1">
              <w:rPr>
                <w:rFonts w:ascii="仿宋" w:eastAsia="仿宋" w:hAnsi="仿宋" w:hint="eastAsia"/>
                <w:szCs w:val="21"/>
              </w:rPr>
              <w:t>投资经理借鉴境外成熟市场投资者的方式方法，寻找吸引境外投资者的境内上市股票，侧重低估值、高股息的蓝筹股，以及在境内上市但在境外市场缺乏的行业和上市公司。随着更多境外投资者投资境内股票，获得长期趋势性收益。</w:t>
            </w:r>
          </w:p>
          <w:p w14:paraId="69FB5DAA" w14:textId="4A1CE545" w:rsidR="00F833EB" w:rsidRPr="00E028A1" w:rsidRDefault="00F833EB" w:rsidP="00F833EB">
            <w:pPr>
              <w:ind w:firstLineChars="200" w:firstLine="420"/>
              <w:rPr>
                <w:rFonts w:ascii="仿宋" w:eastAsia="仿宋" w:hAnsi="仿宋" w:hint="eastAsia"/>
                <w:szCs w:val="21"/>
              </w:rPr>
            </w:pPr>
            <w:r w:rsidRPr="00E028A1">
              <w:rPr>
                <w:rFonts w:ascii="仿宋" w:eastAsia="仿宋" w:hAnsi="仿宋" w:hint="eastAsia"/>
                <w:szCs w:val="21"/>
              </w:rPr>
              <w:t>观察行业和公司在境内外市场的表现，以及同一市场内行业和公司的相对估值差异，结合股息率和成长性，深入挖掘具有明显估值优势的蓝筹股和持续成长能力的成长股，构建股票投资组合。同时，境内市场有在境外市场稀缺的股票和行业，随着境内市场的进一步开发，可吸引更多境外投资者投资，从而提升相应股票的吸引力。</w:t>
            </w:r>
          </w:p>
          <w:p w14:paraId="51947071" w14:textId="77777777" w:rsidR="00F833EB" w:rsidRDefault="00F833EB" w:rsidP="00F833EB">
            <w:pPr>
              <w:ind w:firstLineChars="200" w:firstLine="420"/>
              <w:rPr>
                <w:rFonts w:ascii="仿宋" w:eastAsia="仿宋" w:hAnsi="仿宋"/>
                <w:szCs w:val="21"/>
              </w:rPr>
            </w:pPr>
            <w:r w:rsidRPr="00E028A1">
              <w:rPr>
                <w:rFonts w:ascii="仿宋" w:eastAsia="仿宋" w:hAnsi="仿宋" w:hint="eastAsia"/>
                <w:szCs w:val="21"/>
              </w:rPr>
              <w:t>具体的股票投资策略分为自下而上的微观策略和自上而下的宏观策略，以自下而上策略为主。</w:t>
            </w:r>
          </w:p>
          <w:p w14:paraId="11CDFEE6" w14:textId="77777777" w:rsidR="00F833EB" w:rsidRPr="00F833EB" w:rsidRDefault="00F833EB" w:rsidP="00F833EB">
            <w:pPr>
              <w:ind w:firstLineChars="200" w:firstLine="420"/>
              <w:rPr>
                <w:rFonts w:ascii="仿宋" w:eastAsia="仿宋" w:hAnsi="仿宋" w:hint="eastAsia"/>
                <w:szCs w:val="21"/>
              </w:rPr>
            </w:pPr>
            <w:r w:rsidRPr="00F833EB">
              <w:rPr>
                <w:rFonts w:ascii="仿宋" w:eastAsia="仿宋" w:hAnsi="仿宋" w:hint="eastAsia"/>
                <w:szCs w:val="21"/>
              </w:rPr>
              <w:t>2、套期保值策略</w:t>
            </w:r>
          </w:p>
          <w:p w14:paraId="54DBA2F3" w14:textId="77777777" w:rsidR="00F833EB" w:rsidRDefault="00F833EB" w:rsidP="00F833EB">
            <w:pPr>
              <w:ind w:firstLineChars="200" w:firstLine="420"/>
              <w:rPr>
                <w:rFonts w:ascii="仿宋" w:eastAsia="仿宋" w:hAnsi="仿宋"/>
                <w:szCs w:val="21"/>
              </w:rPr>
            </w:pPr>
            <w:r w:rsidRPr="00F833EB">
              <w:rPr>
                <w:rFonts w:ascii="仿宋" w:eastAsia="仿宋" w:hAnsi="仿宋" w:hint="eastAsia"/>
                <w:szCs w:val="21"/>
              </w:rPr>
              <w:t>根据股指期货合约的安排，股指期货到期日的价格必定收敛到现货指数的价格。因此，在合约期内存在一个合理价值，当股指期货的价格背离这个合理价值时，可以通过同时买卖股指期货及相对应的指数进行套期保值。</w:t>
            </w:r>
          </w:p>
          <w:p w14:paraId="09957897" w14:textId="77777777" w:rsidR="00F833EB" w:rsidRPr="00F833EB" w:rsidRDefault="00F833EB" w:rsidP="00F833EB">
            <w:pPr>
              <w:ind w:firstLineChars="200" w:firstLine="420"/>
              <w:rPr>
                <w:rFonts w:ascii="仿宋" w:eastAsia="仿宋" w:hAnsi="仿宋" w:hint="eastAsia"/>
                <w:szCs w:val="21"/>
              </w:rPr>
            </w:pPr>
            <w:r w:rsidRPr="00F833EB">
              <w:rPr>
                <w:rFonts w:ascii="仿宋" w:eastAsia="仿宋" w:hAnsi="仿宋" w:hint="eastAsia"/>
                <w:szCs w:val="21"/>
              </w:rPr>
              <w:t>3、固定收益和货币类品种投资策略</w:t>
            </w:r>
          </w:p>
          <w:p w14:paraId="0A4DB563" w14:textId="37439546" w:rsidR="00F833EB" w:rsidRPr="00F833EB" w:rsidRDefault="00F833EB" w:rsidP="00F833EB">
            <w:pPr>
              <w:ind w:firstLineChars="200" w:firstLine="420"/>
              <w:rPr>
                <w:rFonts w:ascii="仿宋" w:eastAsia="仿宋" w:hAnsi="仿宋" w:hint="eastAsia"/>
                <w:szCs w:val="21"/>
              </w:rPr>
            </w:pPr>
            <w:r w:rsidRPr="00F833EB">
              <w:rPr>
                <w:rFonts w:ascii="仿宋" w:eastAsia="仿宋" w:hAnsi="仿宋" w:hint="eastAsia"/>
                <w:szCs w:val="21"/>
              </w:rPr>
              <w:t>本产品投资固定收益和货币类品种主要是为了充分利用闲置资金，取得稳定收益，因此策略以稳健为核心。本产品将综合考量股票组合对资金的需求，对闲置资金投资固定收益和货币类品种做出规划，包括组合的规模、投资期限、期间的流动性安排等。约束条件下，综合运用估值策略、久期管理策略、利率预期策略等多种方法，结合债券的流动性、信用风险分析等多种因素，对个券进行积极的管理。</w:t>
            </w:r>
          </w:p>
        </w:tc>
      </w:tr>
      <w:tr w:rsidR="00F833EB" w:rsidRPr="002D0AC1" w14:paraId="71207DB1" w14:textId="77777777" w:rsidTr="00E028A1">
        <w:trPr>
          <w:trHeight w:hRule="exact" w:val="2631"/>
        </w:trPr>
        <w:tc>
          <w:tcPr>
            <w:tcW w:w="1809" w:type="dxa"/>
            <w:vAlign w:val="center"/>
            <w:hideMark/>
          </w:tcPr>
          <w:p w14:paraId="119D622C" w14:textId="077E6F5F" w:rsidR="00F833EB" w:rsidRPr="002D0AC1" w:rsidRDefault="00F833EB" w:rsidP="00F833EB">
            <w:pPr>
              <w:rPr>
                <w:rFonts w:ascii="仿宋" w:eastAsia="仿宋" w:hAnsi="仿宋"/>
                <w:b/>
                <w:szCs w:val="21"/>
              </w:rPr>
            </w:pPr>
            <w:r w:rsidRPr="002D0AC1">
              <w:rPr>
                <w:rFonts w:ascii="仿宋" w:eastAsia="仿宋" w:hAnsi="仿宋" w:hint="eastAsia"/>
                <w:b/>
                <w:szCs w:val="21"/>
              </w:rPr>
              <w:t>投资范围</w:t>
            </w:r>
          </w:p>
        </w:tc>
        <w:tc>
          <w:tcPr>
            <w:tcW w:w="7113" w:type="dxa"/>
            <w:vAlign w:val="center"/>
          </w:tcPr>
          <w:p w14:paraId="5DCFE59B" w14:textId="77777777" w:rsidR="00F833EB" w:rsidRPr="002D0AC1" w:rsidRDefault="00F833EB" w:rsidP="00F833EB">
            <w:pPr>
              <w:ind w:firstLineChars="200" w:firstLine="420"/>
              <w:rPr>
                <w:rFonts w:ascii="仿宋" w:eastAsia="仿宋" w:hAnsi="仿宋" w:hint="eastAsia"/>
                <w:szCs w:val="21"/>
              </w:rPr>
            </w:pPr>
            <w:r w:rsidRPr="002D0AC1">
              <w:rPr>
                <w:rFonts w:ascii="仿宋" w:eastAsia="仿宋" w:hAnsi="仿宋" w:hint="eastAsia"/>
                <w:szCs w:val="21"/>
              </w:rPr>
              <w:t>本产品的投资范围和配置比例遵从人社部《关于企业年金养老金产品有关问题的通知》（人社部发[2013]24号）的相关规定，投资范围包括：银行存款、国债、中央银行票据、债券回购、分级基金优先份额、证券投资基金、股票、商业银行理财产品、信托产品、基础设施债权投资计划、特定资产管理计划、股指期货、信用等级在投资级以上的金融债、企业（公司）债、可转换债（含分离交易可转债）、短期融资券和中期票据等金融产品。</w:t>
            </w:r>
          </w:p>
          <w:p w14:paraId="5DCBDE6A" w14:textId="0BA8587C" w:rsidR="00F833EB" w:rsidRPr="002D0AC1" w:rsidRDefault="00F833EB" w:rsidP="00F833EB">
            <w:pPr>
              <w:ind w:firstLineChars="200" w:firstLine="420"/>
              <w:rPr>
                <w:rFonts w:ascii="仿宋" w:eastAsia="仿宋" w:hAnsi="仿宋"/>
                <w:szCs w:val="21"/>
              </w:rPr>
            </w:pPr>
            <w:r w:rsidRPr="002D0AC1">
              <w:rPr>
                <w:rFonts w:ascii="仿宋" w:eastAsia="仿宋" w:hAnsi="仿宋" w:hint="eastAsia"/>
                <w:szCs w:val="21"/>
              </w:rPr>
              <w:t>如相关法律法规或监管部门政策对于养老金产品的投资范围和比例要求进行调整的，本养老金产品有权进行相应调整。</w:t>
            </w:r>
          </w:p>
        </w:tc>
      </w:tr>
      <w:tr w:rsidR="00F833EB" w:rsidRPr="002D0AC1" w14:paraId="348FE3EF" w14:textId="77777777" w:rsidTr="00E028A1">
        <w:trPr>
          <w:trHeight w:hRule="exact" w:val="11918"/>
        </w:trPr>
        <w:tc>
          <w:tcPr>
            <w:tcW w:w="1809" w:type="dxa"/>
            <w:vAlign w:val="center"/>
            <w:hideMark/>
          </w:tcPr>
          <w:p w14:paraId="0682F2CE" w14:textId="5232F218" w:rsidR="00F833EB" w:rsidRPr="002D0AC1" w:rsidRDefault="00F833EB" w:rsidP="00F833EB">
            <w:pPr>
              <w:rPr>
                <w:rFonts w:ascii="仿宋" w:eastAsia="仿宋" w:hAnsi="仿宋"/>
                <w:b/>
                <w:szCs w:val="21"/>
              </w:rPr>
            </w:pPr>
            <w:r w:rsidRPr="002D0AC1">
              <w:rPr>
                <w:rFonts w:ascii="仿宋" w:eastAsia="仿宋" w:hAnsi="仿宋" w:hint="eastAsia"/>
                <w:b/>
                <w:szCs w:val="21"/>
              </w:rPr>
              <w:lastRenderedPageBreak/>
              <w:t>投资比例</w:t>
            </w:r>
          </w:p>
        </w:tc>
        <w:tc>
          <w:tcPr>
            <w:tcW w:w="7113" w:type="dxa"/>
            <w:vAlign w:val="center"/>
          </w:tcPr>
          <w:p w14:paraId="113483E5" w14:textId="77777777" w:rsidR="00F833EB" w:rsidRPr="002D0AC1" w:rsidRDefault="00F833EB" w:rsidP="00F833EB">
            <w:pPr>
              <w:rPr>
                <w:rFonts w:ascii="仿宋" w:eastAsia="仿宋" w:hAnsi="仿宋" w:hint="eastAsia"/>
                <w:szCs w:val="21"/>
              </w:rPr>
            </w:pPr>
            <w:r w:rsidRPr="002D0AC1">
              <w:rPr>
                <w:rFonts w:ascii="仿宋" w:eastAsia="仿宋" w:hAnsi="仿宋" w:hint="eastAsia"/>
                <w:szCs w:val="21"/>
              </w:rPr>
              <w:t>本产品按照公允价值计算应当遵守以下投资限制：</w:t>
            </w:r>
          </w:p>
          <w:p w14:paraId="26B4A556" w14:textId="77777777" w:rsidR="00F833EB" w:rsidRPr="002D0AC1" w:rsidRDefault="00F833EB" w:rsidP="00F833EB">
            <w:pPr>
              <w:rPr>
                <w:rFonts w:ascii="仿宋" w:eastAsia="仿宋" w:hAnsi="仿宋" w:hint="eastAsia"/>
                <w:szCs w:val="21"/>
              </w:rPr>
            </w:pPr>
            <w:r w:rsidRPr="002D0AC1">
              <w:rPr>
                <w:rFonts w:ascii="仿宋" w:eastAsia="仿宋" w:hAnsi="仿宋" w:hint="eastAsia"/>
                <w:szCs w:val="21"/>
              </w:rPr>
              <w:t>1、权益类资产（包括境内股票、境内股票基金、境内混合基金等）的投资比例不低于本产品资产净值的70%。</w:t>
            </w:r>
          </w:p>
          <w:p w14:paraId="7B37901B" w14:textId="77777777" w:rsidR="00F833EB" w:rsidRPr="002D0AC1" w:rsidRDefault="00F833EB" w:rsidP="00F833EB">
            <w:pPr>
              <w:rPr>
                <w:rFonts w:ascii="仿宋" w:eastAsia="仿宋" w:hAnsi="仿宋" w:hint="eastAsia"/>
                <w:szCs w:val="21"/>
              </w:rPr>
            </w:pPr>
            <w:r w:rsidRPr="002D0AC1">
              <w:rPr>
                <w:rFonts w:ascii="仿宋" w:eastAsia="仿宋" w:hAnsi="仿宋" w:hint="eastAsia"/>
                <w:szCs w:val="21"/>
              </w:rPr>
              <w:t>2、固定收益类资产（包括一年期以上的银行定期存款、协议存款、国债、金融债、企业（公司）债、可转换债（含分离交易可转换债）、短期融资券、中期票据、商业银行理财产品、信托产品、基础设施债权投资计划、特定资产管理计划、债券基金等）的配置比例合计不高于本养老金产品资产净值的65%；投资债券正回购的资金余额在每个交易日均不得高于本养老金产品资产净值的 40%。</w:t>
            </w:r>
          </w:p>
          <w:p w14:paraId="1DA06109" w14:textId="77777777" w:rsidR="00F833EB" w:rsidRPr="002D0AC1" w:rsidRDefault="00F833EB" w:rsidP="00F833EB">
            <w:pPr>
              <w:rPr>
                <w:rFonts w:ascii="仿宋" w:eastAsia="仿宋" w:hAnsi="仿宋" w:hint="eastAsia"/>
                <w:szCs w:val="21"/>
              </w:rPr>
            </w:pPr>
            <w:r w:rsidRPr="002D0AC1">
              <w:rPr>
                <w:rFonts w:ascii="仿宋" w:eastAsia="仿宋" w:hAnsi="仿宋" w:hint="eastAsia"/>
                <w:szCs w:val="21"/>
              </w:rPr>
              <w:t>3、货币类资产（包括银行活期存款、中央银行票据、一年期以内（含一年）的银行定期存款、债券回购、货币市场基金、短期理财债券基金等）的配置比例，合计不低于本养老金产品资产净值的 5%。</w:t>
            </w:r>
          </w:p>
          <w:p w14:paraId="2CB74840" w14:textId="77777777" w:rsidR="00F833EB" w:rsidRPr="002D0AC1" w:rsidRDefault="00F833EB" w:rsidP="00F833EB">
            <w:pPr>
              <w:rPr>
                <w:rFonts w:ascii="仿宋" w:eastAsia="仿宋" w:hAnsi="仿宋" w:hint="eastAsia"/>
                <w:szCs w:val="21"/>
              </w:rPr>
            </w:pPr>
            <w:r w:rsidRPr="002D0AC1">
              <w:rPr>
                <w:rFonts w:ascii="仿宋" w:eastAsia="仿宋" w:hAnsi="仿宋" w:hint="eastAsia"/>
                <w:szCs w:val="21"/>
              </w:rPr>
              <w:t>4、本产品资产不得直接投资于权证，但因投资股票、分离交易可转换债等投资品种而衍生获得的权证，应当在权证上市交易之日起10个交易日内卖出。</w:t>
            </w:r>
          </w:p>
          <w:p w14:paraId="0E5B78A6" w14:textId="77777777" w:rsidR="00F833EB" w:rsidRPr="002D0AC1" w:rsidRDefault="00F833EB" w:rsidP="00F833EB">
            <w:pPr>
              <w:rPr>
                <w:rFonts w:ascii="仿宋" w:eastAsia="仿宋" w:hAnsi="仿宋" w:hint="eastAsia"/>
                <w:szCs w:val="21"/>
              </w:rPr>
            </w:pPr>
            <w:r w:rsidRPr="002D0AC1">
              <w:rPr>
                <w:rFonts w:ascii="仿宋" w:eastAsia="仿宋" w:hAnsi="仿宋" w:hint="eastAsia"/>
                <w:szCs w:val="21"/>
              </w:rPr>
              <w:t>5、本产品投资于一家企业所发行的股票、单期发行的同一品种短期融资券、中期票据、金融债、企业（公司）债、可转换债（含分离交易可转换债），单只证券投资基金，分别不得超过该企业上述证券发行量、该基金份额的5%；按照公允价值计算，也不得超过本产品资产净值的10%。</w:t>
            </w:r>
          </w:p>
          <w:p w14:paraId="66303106" w14:textId="77777777" w:rsidR="00F833EB" w:rsidRPr="002D0AC1" w:rsidRDefault="00F833EB" w:rsidP="00F833EB">
            <w:pPr>
              <w:rPr>
                <w:rFonts w:ascii="仿宋" w:eastAsia="仿宋" w:hAnsi="仿宋" w:hint="eastAsia"/>
                <w:szCs w:val="21"/>
              </w:rPr>
            </w:pPr>
            <w:r w:rsidRPr="002D0AC1">
              <w:rPr>
                <w:rFonts w:ascii="仿宋" w:eastAsia="仿宋" w:hAnsi="仿宋" w:hint="eastAsia"/>
                <w:szCs w:val="21"/>
              </w:rPr>
              <w:t>6、本产品只能以套期保值为目的参与股指期货交易，不得买入股指期货套期保值。任何交易日终，持有的卖出股指期货合约价值，不得超过其对冲的股票、股票基金、混合基金等权益类资产的账面价值。本产品执行卖出股指期货套期保值策略时，产品流动性风险控制根据本产品投资管理人内部管理要求执行。</w:t>
            </w:r>
          </w:p>
          <w:p w14:paraId="61D5A046" w14:textId="77777777" w:rsidR="00F833EB" w:rsidRPr="002D0AC1" w:rsidRDefault="00F833EB" w:rsidP="00F833EB">
            <w:pPr>
              <w:rPr>
                <w:rFonts w:ascii="仿宋" w:eastAsia="仿宋" w:hAnsi="仿宋" w:hint="eastAsia"/>
                <w:szCs w:val="21"/>
              </w:rPr>
            </w:pPr>
            <w:r w:rsidRPr="002D0AC1">
              <w:rPr>
                <w:rFonts w:ascii="仿宋" w:eastAsia="仿宋" w:hAnsi="仿宋" w:hint="eastAsia"/>
                <w:szCs w:val="21"/>
              </w:rPr>
              <w:t>7、本产品投资商业银行理财产品、信托产品、基础设施债权投资计划、特定资产管理计划的主体、品种及比例应符合第24号文的要求以及符合第23号文、第35号文的规定。</w:t>
            </w:r>
          </w:p>
          <w:p w14:paraId="5B728940" w14:textId="77777777" w:rsidR="00F833EB" w:rsidRPr="002D0AC1" w:rsidRDefault="00F833EB" w:rsidP="00F833EB">
            <w:pPr>
              <w:rPr>
                <w:rFonts w:ascii="仿宋" w:eastAsia="仿宋" w:hAnsi="仿宋" w:hint="eastAsia"/>
                <w:szCs w:val="21"/>
              </w:rPr>
            </w:pPr>
            <w:r w:rsidRPr="002D0AC1">
              <w:rPr>
                <w:rFonts w:ascii="仿宋" w:eastAsia="仿宋" w:hAnsi="仿宋" w:hint="eastAsia"/>
                <w:szCs w:val="21"/>
              </w:rPr>
              <w:t>8、本产品资产不得从事使年金基金财产承担无限责任的投资。</w:t>
            </w:r>
          </w:p>
          <w:p w14:paraId="540844B3" w14:textId="77777777" w:rsidR="00F833EB" w:rsidRPr="002D0AC1" w:rsidRDefault="00F833EB" w:rsidP="00F833EB">
            <w:pPr>
              <w:rPr>
                <w:rFonts w:ascii="仿宋" w:eastAsia="仿宋" w:hAnsi="仿宋" w:hint="eastAsia"/>
                <w:szCs w:val="21"/>
              </w:rPr>
            </w:pPr>
            <w:r w:rsidRPr="002D0AC1">
              <w:rPr>
                <w:rFonts w:ascii="仿宋" w:eastAsia="仿宋" w:hAnsi="仿宋" w:hint="eastAsia"/>
                <w:szCs w:val="21"/>
              </w:rPr>
              <w:t>9、本产品的具体投资范围和投资比例同时也需满足国家法律法规的相关规定，在监管部门调整相关规定时，经履行必要的程序后，本产品投资范围和投资比例可作出相应调整。</w:t>
            </w:r>
          </w:p>
          <w:p w14:paraId="47D0E938" w14:textId="5C4068CF" w:rsidR="00F833EB" w:rsidRPr="002D0AC1" w:rsidRDefault="00F833EB" w:rsidP="00F833EB">
            <w:pPr>
              <w:rPr>
                <w:rFonts w:ascii="仿宋" w:eastAsia="仿宋" w:hAnsi="仿宋"/>
                <w:szCs w:val="21"/>
              </w:rPr>
            </w:pPr>
            <w:r w:rsidRPr="002D0AC1">
              <w:rPr>
                <w:rFonts w:ascii="仿宋" w:eastAsia="仿宋" w:hAnsi="仿宋" w:hint="eastAsia"/>
                <w:szCs w:val="21"/>
              </w:rPr>
              <w:t>10、本产品的建仓期是3个月，投资管理人应当自养老金产品初始投资运作之日起3个月内使产品的投资范围及比例符合第11号令、第23号文、第24号文等法规文件规定及本合同的约定。因证券市场波动、上市公司合并、产品规模变动等投资管理人之外的因素致使本产品投资不符合第11号令、第23号文、第24号文等法规文件规定及本合同约定的投资比例的，投资管理人应当在相关投资品种可上市交易之日起10个交易日内调整完毕。法律法规或监管部门另有规定的，从其规定。</w:t>
            </w:r>
          </w:p>
        </w:tc>
      </w:tr>
      <w:tr w:rsidR="00F833EB" w:rsidRPr="002D0AC1" w14:paraId="00B0E962" w14:textId="77777777" w:rsidTr="00E028A1">
        <w:trPr>
          <w:trHeight w:hRule="exact" w:val="497"/>
        </w:trPr>
        <w:tc>
          <w:tcPr>
            <w:tcW w:w="1809" w:type="dxa"/>
            <w:vAlign w:val="center"/>
            <w:hideMark/>
          </w:tcPr>
          <w:p w14:paraId="15DD1AC3" w14:textId="77777777" w:rsidR="00F833EB" w:rsidRPr="002D0AC1" w:rsidRDefault="00F833EB" w:rsidP="00F833EB">
            <w:pPr>
              <w:rPr>
                <w:rFonts w:ascii="仿宋" w:eastAsia="仿宋" w:hAnsi="仿宋"/>
                <w:b/>
                <w:szCs w:val="21"/>
              </w:rPr>
            </w:pPr>
            <w:r w:rsidRPr="002D0AC1">
              <w:rPr>
                <w:rFonts w:ascii="仿宋" w:eastAsia="仿宋" w:hAnsi="仿宋" w:hint="eastAsia"/>
                <w:b/>
                <w:szCs w:val="21"/>
              </w:rPr>
              <w:t>投资管理费率</w:t>
            </w:r>
          </w:p>
        </w:tc>
        <w:tc>
          <w:tcPr>
            <w:tcW w:w="7113" w:type="dxa"/>
            <w:vAlign w:val="center"/>
            <w:hideMark/>
          </w:tcPr>
          <w:p w14:paraId="5E586894" w14:textId="16F0260E" w:rsidR="00F833EB" w:rsidRPr="002D0AC1" w:rsidRDefault="00F833EB" w:rsidP="00F833EB">
            <w:pPr>
              <w:rPr>
                <w:rFonts w:ascii="仿宋" w:eastAsia="仿宋" w:hAnsi="仿宋"/>
                <w:szCs w:val="21"/>
              </w:rPr>
            </w:pPr>
            <w:r w:rsidRPr="002D0AC1">
              <w:rPr>
                <w:rFonts w:ascii="仿宋" w:eastAsia="仿宋" w:hAnsi="仿宋"/>
                <w:szCs w:val="21"/>
              </w:rPr>
              <w:t>0.</w:t>
            </w:r>
            <w:r>
              <w:rPr>
                <w:rFonts w:ascii="仿宋" w:eastAsia="仿宋" w:hAnsi="仿宋"/>
                <w:szCs w:val="21"/>
              </w:rPr>
              <w:t>6</w:t>
            </w:r>
            <w:r w:rsidRPr="002D0AC1">
              <w:rPr>
                <w:rFonts w:ascii="仿宋" w:eastAsia="仿宋" w:hAnsi="仿宋" w:hint="eastAsia"/>
                <w:szCs w:val="21"/>
              </w:rPr>
              <w:t>%/年</w:t>
            </w:r>
          </w:p>
        </w:tc>
      </w:tr>
      <w:tr w:rsidR="00F833EB" w:rsidRPr="002D0AC1" w14:paraId="4B1F32E1" w14:textId="77777777" w:rsidTr="00E028A1">
        <w:trPr>
          <w:trHeight w:hRule="exact" w:val="517"/>
        </w:trPr>
        <w:tc>
          <w:tcPr>
            <w:tcW w:w="1809" w:type="dxa"/>
            <w:vAlign w:val="center"/>
            <w:hideMark/>
          </w:tcPr>
          <w:p w14:paraId="1DF6127F" w14:textId="77777777" w:rsidR="00F833EB" w:rsidRPr="002D0AC1" w:rsidRDefault="00F833EB" w:rsidP="00F833EB">
            <w:pPr>
              <w:rPr>
                <w:rFonts w:ascii="仿宋" w:eastAsia="仿宋" w:hAnsi="仿宋"/>
                <w:b/>
                <w:szCs w:val="21"/>
              </w:rPr>
            </w:pPr>
            <w:r w:rsidRPr="002D0AC1">
              <w:rPr>
                <w:rFonts w:ascii="仿宋" w:eastAsia="仿宋" w:hAnsi="仿宋" w:hint="eastAsia"/>
                <w:b/>
                <w:szCs w:val="21"/>
              </w:rPr>
              <w:t>产品托管费率</w:t>
            </w:r>
          </w:p>
        </w:tc>
        <w:tc>
          <w:tcPr>
            <w:tcW w:w="7113" w:type="dxa"/>
            <w:vAlign w:val="center"/>
            <w:hideMark/>
          </w:tcPr>
          <w:p w14:paraId="043046F7" w14:textId="77777777" w:rsidR="00F833EB" w:rsidRPr="002D0AC1" w:rsidRDefault="00F833EB" w:rsidP="00F833EB">
            <w:pPr>
              <w:rPr>
                <w:rFonts w:ascii="仿宋" w:eastAsia="仿宋" w:hAnsi="仿宋"/>
                <w:szCs w:val="21"/>
              </w:rPr>
            </w:pPr>
            <w:r w:rsidRPr="002D0AC1">
              <w:rPr>
                <w:rFonts w:ascii="仿宋" w:eastAsia="仿宋" w:hAnsi="仿宋"/>
                <w:szCs w:val="21"/>
              </w:rPr>
              <w:t>0.02%/</w:t>
            </w:r>
            <w:r w:rsidRPr="002D0AC1">
              <w:rPr>
                <w:rFonts w:ascii="仿宋" w:eastAsia="仿宋" w:hAnsi="仿宋" w:hint="eastAsia"/>
                <w:szCs w:val="21"/>
              </w:rPr>
              <w:t>年</w:t>
            </w:r>
          </w:p>
        </w:tc>
      </w:tr>
      <w:tr w:rsidR="00F833EB" w:rsidRPr="002D0AC1" w14:paraId="447B7909" w14:textId="77777777" w:rsidTr="00E028A1">
        <w:trPr>
          <w:trHeight w:hRule="exact" w:val="6581"/>
        </w:trPr>
        <w:tc>
          <w:tcPr>
            <w:tcW w:w="1809" w:type="dxa"/>
            <w:vAlign w:val="center"/>
          </w:tcPr>
          <w:p w14:paraId="06EFCC54" w14:textId="77777777" w:rsidR="00F833EB" w:rsidRPr="002D0AC1" w:rsidRDefault="00F833EB" w:rsidP="00F833EB">
            <w:pPr>
              <w:rPr>
                <w:rFonts w:ascii="仿宋" w:eastAsia="仿宋" w:hAnsi="仿宋"/>
                <w:b/>
                <w:szCs w:val="21"/>
              </w:rPr>
            </w:pPr>
            <w:r w:rsidRPr="002D0AC1">
              <w:rPr>
                <w:rFonts w:ascii="仿宋" w:eastAsia="仿宋" w:hAnsi="仿宋" w:hint="eastAsia"/>
                <w:b/>
                <w:szCs w:val="21"/>
              </w:rPr>
              <w:lastRenderedPageBreak/>
              <w:t>管理费计提和收取要求</w:t>
            </w:r>
          </w:p>
        </w:tc>
        <w:tc>
          <w:tcPr>
            <w:tcW w:w="7113" w:type="dxa"/>
            <w:vAlign w:val="center"/>
          </w:tcPr>
          <w:p w14:paraId="03577135" w14:textId="77777777" w:rsidR="00F833EB" w:rsidRDefault="00F833EB" w:rsidP="00F833EB">
            <w:pPr>
              <w:ind w:firstLineChars="150" w:firstLine="315"/>
              <w:jc w:val="left"/>
              <w:rPr>
                <w:rFonts w:ascii="仿宋_GB2312" w:eastAsia="仿宋_GB2312" w:hAnsi="仿宋"/>
                <w:szCs w:val="21"/>
              </w:rPr>
            </w:pPr>
            <w:r w:rsidRPr="00E4528F">
              <w:rPr>
                <w:rFonts w:ascii="仿宋_GB2312" w:eastAsia="仿宋_GB2312" w:hAnsi="仿宋" w:hint="eastAsia"/>
                <w:szCs w:val="21"/>
              </w:rPr>
              <w:t>本产品的投资管理费按前一日产品资产净值的</w:t>
            </w:r>
            <w:r w:rsidRPr="00E4528F">
              <w:rPr>
                <w:rFonts w:ascii="仿宋_GB2312" w:eastAsia="仿宋_GB2312" w:hAnsi="仿宋" w:hint="eastAsia"/>
                <w:b/>
                <w:szCs w:val="21"/>
              </w:rPr>
              <w:t>0.6%的年费率</w:t>
            </w:r>
            <w:r w:rsidRPr="00E4528F">
              <w:rPr>
                <w:rFonts w:ascii="仿宋_GB2312" w:eastAsia="仿宋_GB2312" w:hAnsi="仿宋" w:hint="eastAsia"/>
                <w:szCs w:val="21"/>
              </w:rPr>
              <w:t>计提。</w:t>
            </w:r>
          </w:p>
          <w:p w14:paraId="4C9EAD75" w14:textId="77777777" w:rsidR="00F833EB" w:rsidRPr="00E4528F" w:rsidRDefault="00F833EB" w:rsidP="00F833EB">
            <w:pPr>
              <w:ind w:firstLineChars="100" w:firstLine="210"/>
              <w:jc w:val="left"/>
              <w:rPr>
                <w:rFonts w:ascii="仿宋_GB2312" w:eastAsia="仿宋_GB2312" w:hAnsi="仿宋"/>
                <w:szCs w:val="21"/>
              </w:rPr>
            </w:pPr>
            <w:r w:rsidRPr="00E4528F">
              <w:rPr>
                <w:rFonts w:ascii="仿宋_GB2312" w:eastAsia="仿宋_GB2312" w:hAnsi="仿宋" w:hint="eastAsia"/>
                <w:szCs w:val="21"/>
              </w:rPr>
              <w:t>T= E1×R/当年实际天数</w:t>
            </w:r>
          </w:p>
          <w:p w14:paraId="7E714BF9" w14:textId="77777777" w:rsidR="00F833EB" w:rsidRPr="00E4528F" w:rsidRDefault="00F833EB" w:rsidP="00F833EB">
            <w:pPr>
              <w:ind w:firstLineChars="100" w:firstLine="210"/>
              <w:jc w:val="left"/>
              <w:rPr>
                <w:rFonts w:ascii="仿宋_GB2312" w:eastAsia="仿宋_GB2312" w:hAnsi="仿宋"/>
                <w:szCs w:val="21"/>
              </w:rPr>
            </w:pPr>
            <w:r w:rsidRPr="00E4528F">
              <w:rPr>
                <w:rFonts w:ascii="仿宋_GB2312" w:eastAsia="仿宋_GB2312" w:hAnsi="仿宋" w:hint="eastAsia"/>
                <w:szCs w:val="21"/>
              </w:rPr>
              <w:t>T：每日应计提的投资管理费；</w:t>
            </w:r>
          </w:p>
          <w:p w14:paraId="5B7C93EE" w14:textId="77777777" w:rsidR="00F833EB" w:rsidRPr="00E4528F" w:rsidRDefault="00F833EB" w:rsidP="00F833EB">
            <w:pPr>
              <w:ind w:firstLineChars="100" w:firstLine="210"/>
              <w:jc w:val="left"/>
              <w:rPr>
                <w:rFonts w:ascii="仿宋_GB2312" w:eastAsia="仿宋_GB2312" w:hAnsi="仿宋"/>
                <w:szCs w:val="21"/>
              </w:rPr>
            </w:pPr>
            <w:r w:rsidRPr="00E4528F">
              <w:rPr>
                <w:rFonts w:ascii="仿宋_GB2312" w:eastAsia="仿宋_GB2312" w:hAnsi="仿宋" w:hint="eastAsia"/>
                <w:szCs w:val="21"/>
              </w:rPr>
              <w:t>E1：前一日养老金产品资产净值（首日不计提，合同终止日投资管理费于合同终止日当天计提）；</w:t>
            </w:r>
          </w:p>
          <w:p w14:paraId="5543F0B2" w14:textId="77777777" w:rsidR="00F833EB" w:rsidRPr="00E4528F" w:rsidRDefault="00F833EB" w:rsidP="00F833EB">
            <w:pPr>
              <w:ind w:firstLineChars="100" w:firstLine="210"/>
              <w:jc w:val="left"/>
              <w:rPr>
                <w:rFonts w:ascii="仿宋_GB2312" w:eastAsia="仿宋_GB2312" w:hAnsi="仿宋"/>
                <w:szCs w:val="21"/>
              </w:rPr>
            </w:pPr>
            <w:r w:rsidRPr="00E4528F">
              <w:rPr>
                <w:rFonts w:ascii="仿宋_GB2312" w:eastAsia="仿宋_GB2312" w:hAnsi="仿宋" w:hint="eastAsia"/>
                <w:szCs w:val="21"/>
              </w:rPr>
              <w:t>R：产品合同约定的投资管理费年费率。</w:t>
            </w:r>
          </w:p>
          <w:p w14:paraId="2A75B156" w14:textId="77777777" w:rsidR="00F833EB" w:rsidRPr="00E4528F" w:rsidRDefault="00F833EB" w:rsidP="00F833EB">
            <w:pPr>
              <w:ind w:firstLineChars="200" w:firstLine="420"/>
              <w:jc w:val="left"/>
              <w:rPr>
                <w:rFonts w:ascii="仿宋_GB2312" w:eastAsia="仿宋_GB2312" w:hAnsi="仿宋"/>
                <w:szCs w:val="21"/>
              </w:rPr>
            </w:pPr>
            <w:r w:rsidRPr="00E4528F">
              <w:rPr>
                <w:rFonts w:ascii="仿宋_GB2312" w:eastAsia="仿宋_GB2312" w:hAnsi="仿宋" w:hint="eastAsia"/>
                <w:szCs w:val="21"/>
              </w:rPr>
              <w:t>投资管理费每日计提，逐日累计，按季支付。投资管理费于季度结束后15个工作日支付。本产品不收取业绩报酬，不提取风险准备金。经投资管理人出具管理费指令，并与托管人核对一致后，由托管人于时效内从养老金产品资产中一次性支付给投资管理人。</w:t>
            </w:r>
          </w:p>
          <w:p w14:paraId="0020ED76" w14:textId="77777777" w:rsidR="00F833EB" w:rsidRDefault="00F833EB" w:rsidP="00F833EB">
            <w:pPr>
              <w:ind w:firstLineChars="200" w:firstLine="420"/>
              <w:jc w:val="left"/>
              <w:rPr>
                <w:rFonts w:ascii="仿宋_GB2312" w:eastAsia="仿宋_GB2312" w:hAnsi="仿宋"/>
                <w:szCs w:val="21"/>
              </w:rPr>
            </w:pPr>
            <w:r w:rsidRPr="00E4528F">
              <w:rPr>
                <w:rFonts w:ascii="仿宋_GB2312" w:eastAsia="仿宋_GB2312" w:hAnsi="仿宋" w:hint="eastAsia"/>
                <w:szCs w:val="21"/>
              </w:rPr>
              <w:t>养老金产品投资于同一投资管理人自身管理的金融产品，如证券投资基金、基础设施债权投资计划、特定资产管理计划等，该部分投资资产在养老金产品层面不再收取投资管理费。</w:t>
            </w:r>
          </w:p>
          <w:p w14:paraId="0A428AB5" w14:textId="77777777" w:rsidR="00F833EB" w:rsidRDefault="00F833EB" w:rsidP="00F833EB">
            <w:pPr>
              <w:ind w:firstLineChars="200" w:firstLine="420"/>
              <w:jc w:val="left"/>
              <w:rPr>
                <w:rFonts w:ascii="仿宋_GB2312" w:eastAsia="仿宋_GB2312" w:hAnsi="仿宋"/>
                <w:szCs w:val="21"/>
              </w:rPr>
            </w:pPr>
          </w:p>
          <w:p w14:paraId="35CFF622" w14:textId="77777777" w:rsidR="00F833EB" w:rsidRPr="00E4528F" w:rsidRDefault="00F833EB" w:rsidP="00F833EB">
            <w:pPr>
              <w:ind w:firstLineChars="200" w:firstLine="420"/>
              <w:jc w:val="left"/>
              <w:rPr>
                <w:rFonts w:ascii="仿宋_GB2312" w:eastAsia="仿宋_GB2312" w:hAnsi="仿宋"/>
                <w:szCs w:val="21"/>
              </w:rPr>
            </w:pPr>
            <w:r w:rsidRPr="00E4528F">
              <w:rPr>
                <w:rFonts w:ascii="仿宋_GB2312" w:eastAsia="仿宋_GB2312" w:hAnsi="仿宋" w:hint="eastAsia"/>
                <w:szCs w:val="21"/>
              </w:rPr>
              <w:t>本产品的托管费按前一日产品资产净值的</w:t>
            </w:r>
            <w:r w:rsidRPr="00E4528F">
              <w:rPr>
                <w:rFonts w:ascii="仿宋_GB2312" w:eastAsia="仿宋_GB2312" w:hAnsi="仿宋" w:hint="eastAsia"/>
                <w:b/>
                <w:szCs w:val="21"/>
              </w:rPr>
              <w:t>0.05%的年费率</w:t>
            </w:r>
            <w:r w:rsidRPr="00E4528F">
              <w:rPr>
                <w:rFonts w:ascii="仿宋_GB2312" w:eastAsia="仿宋_GB2312" w:hAnsi="仿宋" w:hint="eastAsia"/>
                <w:szCs w:val="21"/>
              </w:rPr>
              <w:t>计提。</w:t>
            </w:r>
          </w:p>
          <w:p w14:paraId="062236EF" w14:textId="77777777" w:rsidR="00F833EB" w:rsidRPr="00E4528F" w:rsidRDefault="00F833EB" w:rsidP="00F833EB">
            <w:pPr>
              <w:ind w:firstLineChars="200" w:firstLine="420"/>
              <w:jc w:val="left"/>
              <w:rPr>
                <w:rFonts w:ascii="仿宋_GB2312" w:eastAsia="仿宋_GB2312" w:hAnsi="仿宋"/>
                <w:szCs w:val="21"/>
              </w:rPr>
            </w:pPr>
            <w:r w:rsidRPr="00E4528F">
              <w:rPr>
                <w:rFonts w:ascii="仿宋_GB2312" w:eastAsia="仿宋_GB2312" w:hAnsi="仿宋" w:hint="eastAsia"/>
                <w:szCs w:val="21"/>
              </w:rPr>
              <w:t>C=E2×S/当年实际天数。</w:t>
            </w:r>
          </w:p>
          <w:p w14:paraId="69A2290B" w14:textId="77777777" w:rsidR="00F833EB" w:rsidRPr="00E4528F" w:rsidRDefault="00F833EB" w:rsidP="00F833EB">
            <w:pPr>
              <w:ind w:firstLineChars="200" w:firstLine="420"/>
              <w:jc w:val="left"/>
              <w:rPr>
                <w:rFonts w:ascii="仿宋_GB2312" w:eastAsia="仿宋_GB2312" w:hAnsi="仿宋"/>
                <w:szCs w:val="21"/>
              </w:rPr>
            </w:pPr>
            <w:r w:rsidRPr="00E4528F">
              <w:rPr>
                <w:rFonts w:ascii="仿宋_GB2312" w:eastAsia="仿宋_GB2312" w:hAnsi="仿宋" w:hint="eastAsia"/>
                <w:szCs w:val="21"/>
              </w:rPr>
              <w:t>C：每日应计提的托管费；</w:t>
            </w:r>
          </w:p>
          <w:p w14:paraId="0D0D6A02" w14:textId="77777777" w:rsidR="00F833EB" w:rsidRPr="00E4528F" w:rsidRDefault="00F833EB" w:rsidP="00F833EB">
            <w:pPr>
              <w:ind w:firstLineChars="200" w:firstLine="420"/>
              <w:jc w:val="left"/>
              <w:rPr>
                <w:rFonts w:ascii="仿宋_GB2312" w:eastAsia="仿宋_GB2312" w:hAnsi="仿宋"/>
                <w:szCs w:val="21"/>
              </w:rPr>
            </w:pPr>
            <w:r w:rsidRPr="00E4528F">
              <w:rPr>
                <w:rFonts w:ascii="仿宋_GB2312" w:eastAsia="仿宋_GB2312" w:hAnsi="仿宋" w:hint="eastAsia"/>
                <w:szCs w:val="21"/>
              </w:rPr>
              <w:t>E2：为前一日的本产品资产净值（首日不计提，合同终止日托管费于合同终止日当天计提）；</w:t>
            </w:r>
          </w:p>
          <w:p w14:paraId="56A88E7D" w14:textId="77777777" w:rsidR="00F833EB" w:rsidRPr="00E4528F" w:rsidRDefault="00F833EB" w:rsidP="00F833EB">
            <w:pPr>
              <w:ind w:firstLineChars="200" w:firstLine="420"/>
              <w:jc w:val="left"/>
              <w:rPr>
                <w:rFonts w:ascii="仿宋_GB2312" w:eastAsia="仿宋_GB2312" w:hAnsi="仿宋"/>
                <w:szCs w:val="21"/>
              </w:rPr>
            </w:pPr>
            <w:r w:rsidRPr="00E4528F">
              <w:rPr>
                <w:rFonts w:ascii="仿宋_GB2312" w:eastAsia="仿宋_GB2312" w:hAnsi="仿宋" w:hint="eastAsia"/>
                <w:szCs w:val="21"/>
              </w:rPr>
              <w:t>S：产品合同约定的托管费年费率。</w:t>
            </w:r>
          </w:p>
          <w:p w14:paraId="5C7D0D7E" w14:textId="1B6F415B" w:rsidR="00F833EB" w:rsidRPr="002D0AC1" w:rsidRDefault="00F833EB" w:rsidP="00F833EB">
            <w:pPr>
              <w:rPr>
                <w:rFonts w:ascii="仿宋" w:eastAsia="仿宋" w:hAnsi="仿宋"/>
                <w:szCs w:val="21"/>
              </w:rPr>
            </w:pPr>
            <w:r w:rsidRPr="00E4528F">
              <w:rPr>
                <w:rFonts w:ascii="仿宋_GB2312" w:eastAsia="仿宋_GB2312" w:hAnsi="仿宋" w:hint="eastAsia"/>
                <w:szCs w:val="21"/>
              </w:rPr>
              <w:t>本产品托管费按日计提，逐日累计，在季度结束后15个工作日内支付。</w:t>
            </w:r>
          </w:p>
        </w:tc>
      </w:tr>
      <w:tr w:rsidR="00F833EB" w:rsidRPr="00E52AD4" w14:paraId="49F920C1" w14:textId="77777777" w:rsidTr="00E028A1">
        <w:tblPrEx>
          <w:tblLook w:val="0000" w:firstRow="0" w:lastRow="0" w:firstColumn="0" w:lastColumn="0" w:noHBand="0" w:noVBand="0"/>
        </w:tblPrEx>
        <w:trPr>
          <w:trHeight w:val="339"/>
        </w:trPr>
        <w:tc>
          <w:tcPr>
            <w:tcW w:w="1809" w:type="dxa"/>
            <w:vAlign w:val="center"/>
          </w:tcPr>
          <w:p w14:paraId="2993267E" w14:textId="77777777" w:rsidR="00F833EB" w:rsidRPr="00717C48" w:rsidRDefault="00F833EB" w:rsidP="00F833EB">
            <w:pPr>
              <w:jc w:val="center"/>
              <w:rPr>
                <w:rFonts w:ascii="仿宋_GB2312" w:eastAsia="仿宋_GB2312" w:hAnsi="仿宋"/>
                <w:b/>
                <w:szCs w:val="21"/>
              </w:rPr>
            </w:pPr>
            <w:r>
              <w:rPr>
                <w:rFonts w:ascii="仿宋_GB2312" w:eastAsia="仿宋_GB2312" w:hAnsi="仿宋" w:hint="eastAsia"/>
                <w:b/>
                <w:szCs w:val="21"/>
              </w:rPr>
              <w:t>申购</w:t>
            </w:r>
            <w:r w:rsidRPr="00717C48">
              <w:rPr>
                <w:rFonts w:ascii="仿宋_GB2312" w:eastAsia="仿宋_GB2312" w:hAnsi="仿宋" w:hint="eastAsia"/>
                <w:b/>
                <w:szCs w:val="21"/>
              </w:rPr>
              <w:t>/赎回费</w:t>
            </w:r>
          </w:p>
        </w:tc>
        <w:tc>
          <w:tcPr>
            <w:tcW w:w="7113" w:type="dxa"/>
            <w:vAlign w:val="center"/>
          </w:tcPr>
          <w:p w14:paraId="0D38754F" w14:textId="77777777" w:rsidR="00F833EB" w:rsidRPr="00E52AD4" w:rsidRDefault="00F833EB" w:rsidP="00F833EB">
            <w:pPr>
              <w:jc w:val="left"/>
              <w:rPr>
                <w:rFonts w:ascii="仿宋_GB2312" w:eastAsia="仿宋_GB2312" w:hAnsi="仿宋"/>
                <w:szCs w:val="21"/>
              </w:rPr>
            </w:pPr>
            <w:r w:rsidRPr="00E52AD4">
              <w:rPr>
                <w:rFonts w:ascii="仿宋_GB2312" w:eastAsia="仿宋_GB2312" w:hAnsi="仿宋" w:hint="eastAsia"/>
                <w:szCs w:val="21"/>
              </w:rPr>
              <w:t>本产品免收申购及赎回费用</w:t>
            </w:r>
          </w:p>
        </w:tc>
      </w:tr>
      <w:tr w:rsidR="00F833EB" w:rsidRPr="00E52AD4" w14:paraId="60B6D5F3" w14:textId="77777777" w:rsidTr="00E028A1">
        <w:tblPrEx>
          <w:tblLook w:val="0000" w:firstRow="0" w:lastRow="0" w:firstColumn="0" w:lastColumn="0" w:noHBand="0" w:noVBand="0"/>
        </w:tblPrEx>
        <w:trPr>
          <w:trHeight w:val="339"/>
        </w:trPr>
        <w:tc>
          <w:tcPr>
            <w:tcW w:w="1809" w:type="dxa"/>
            <w:vAlign w:val="center"/>
          </w:tcPr>
          <w:p w14:paraId="756A69C5" w14:textId="77777777" w:rsidR="00F833EB" w:rsidRDefault="00F833EB" w:rsidP="00F833EB">
            <w:pPr>
              <w:jc w:val="center"/>
              <w:rPr>
                <w:rFonts w:ascii="仿宋_GB2312" w:eastAsia="仿宋_GB2312" w:hAnsi="仿宋"/>
                <w:b/>
                <w:szCs w:val="21"/>
              </w:rPr>
            </w:pPr>
            <w:r>
              <w:rPr>
                <w:rFonts w:ascii="仿宋_GB2312" w:eastAsia="仿宋_GB2312" w:hAnsi="仿宋" w:hint="eastAsia"/>
                <w:b/>
                <w:szCs w:val="21"/>
              </w:rPr>
              <w:t>申购</w:t>
            </w:r>
            <w:r>
              <w:rPr>
                <w:rFonts w:ascii="仿宋_GB2312" w:eastAsia="仿宋_GB2312" w:hAnsi="仿宋"/>
                <w:b/>
                <w:szCs w:val="21"/>
              </w:rPr>
              <w:t>时效</w:t>
            </w:r>
          </w:p>
        </w:tc>
        <w:tc>
          <w:tcPr>
            <w:tcW w:w="7113" w:type="dxa"/>
            <w:vAlign w:val="center"/>
          </w:tcPr>
          <w:p w14:paraId="0E68ACB8" w14:textId="77777777" w:rsidR="00F833EB" w:rsidRPr="00E52AD4" w:rsidRDefault="00F833EB" w:rsidP="00F833EB">
            <w:pPr>
              <w:jc w:val="left"/>
              <w:rPr>
                <w:rFonts w:ascii="仿宋_GB2312" w:eastAsia="仿宋_GB2312" w:hAnsi="仿宋"/>
                <w:szCs w:val="21"/>
              </w:rPr>
            </w:pPr>
            <w:r>
              <w:rPr>
                <w:rFonts w:ascii="仿宋_GB2312" w:eastAsia="仿宋_GB2312" w:hAnsi="仿宋" w:hint="eastAsia"/>
                <w:szCs w:val="21"/>
              </w:rPr>
              <w:t>T+1</w:t>
            </w:r>
          </w:p>
        </w:tc>
      </w:tr>
      <w:tr w:rsidR="00F833EB" w:rsidRPr="00E52AD4" w14:paraId="633F2C53" w14:textId="77777777" w:rsidTr="00E028A1">
        <w:tblPrEx>
          <w:tblLook w:val="0000" w:firstRow="0" w:lastRow="0" w:firstColumn="0" w:lastColumn="0" w:noHBand="0" w:noVBand="0"/>
        </w:tblPrEx>
        <w:trPr>
          <w:trHeight w:val="339"/>
        </w:trPr>
        <w:tc>
          <w:tcPr>
            <w:tcW w:w="1809" w:type="dxa"/>
            <w:vAlign w:val="center"/>
          </w:tcPr>
          <w:p w14:paraId="613AB393" w14:textId="77777777" w:rsidR="00F833EB" w:rsidRPr="00717C48" w:rsidRDefault="00F833EB" w:rsidP="00F833EB">
            <w:pPr>
              <w:jc w:val="center"/>
              <w:rPr>
                <w:rFonts w:ascii="仿宋_GB2312" w:eastAsia="仿宋_GB2312" w:hAnsi="仿宋"/>
                <w:b/>
                <w:szCs w:val="21"/>
              </w:rPr>
            </w:pPr>
            <w:r>
              <w:rPr>
                <w:rFonts w:ascii="仿宋_GB2312" w:eastAsia="仿宋_GB2312" w:hAnsi="仿宋" w:hint="eastAsia"/>
                <w:b/>
                <w:szCs w:val="21"/>
              </w:rPr>
              <w:t>赎回</w:t>
            </w:r>
            <w:r>
              <w:rPr>
                <w:rFonts w:ascii="仿宋_GB2312" w:eastAsia="仿宋_GB2312" w:hAnsi="仿宋"/>
                <w:b/>
                <w:szCs w:val="21"/>
              </w:rPr>
              <w:t>时效</w:t>
            </w:r>
          </w:p>
        </w:tc>
        <w:tc>
          <w:tcPr>
            <w:tcW w:w="7113" w:type="dxa"/>
            <w:vAlign w:val="center"/>
          </w:tcPr>
          <w:p w14:paraId="2408089D" w14:textId="77777777" w:rsidR="00F833EB" w:rsidRPr="00E52AD4" w:rsidRDefault="00F833EB" w:rsidP="00F833EB">
            <w:pPr>
              <w:jc w:val="left"/>
              <w:rPr>
                <w:rFonts w:ascii="仿宋_GB2312" w:eastAsia="仿宋_GB2312" w:hAnsi="仿宋"/>
                <w:szCs w:val="21"/>
              </w:rPr>
            </w:pPr>
            <w:r>
              <w:rPr>
                <w:rFonts w:ascii="仿宋_GB2312" w:eastAsia="仿宋_GB2312" w:hAnsi="仿宋" w:hint="eastAsia"/>
                <w:szCs w:val="21"/>
              </w:rPr>
              <w:t>T+2</w:t>
            </w:r>
          </w:p>
        </w:tc>
      </w:tr>
      <w:tr w:rsidR="00F833EB" w:rsidRPr="002D0AC1" w14:paraId="5BAEA6A1" w14:textId="77777777" w:rsidTr="00E028A1">
        <w:trPr>
          <w:trHeight w:hRule="exact" w:val="458"/>
        </w:trPr>
        <w:tc>
          <w:tcPr>
            <w:tcW w:w="1809" w:type="dxa"/>
            <w:shd w:val="clear" w:color="auto" w:fill="FFFFFF"/>
            <w:vAlign w:val="center"/>
          </w:tcPr>
          <w:p w14:paraId="4FDF1513" w14:textId="77777777" w:rsidR="00F833EB" w:rsidRPr="002D0AC1" w:rsidRDefault="00F833EB" w:rsidP="00F833EB">
            <w:pPr>
              <w:rPr>
                <w:rFonts w:ascii="仿宋" w:eastAsia="仿宋" w:hAnsi="仿宋"/>
                <w:b/>
                <w:szCs w:val="21"/>
              </w:rPr>
            </w:pPr>
            <w:r w:rsidRPr="002D0AC1">
              <w:rPr>
                <w:rFonts w:ascii="仿宋" w:eastAsia="仿宋" w:hAnsi="仿宋" w:hint="eastAsia"/>
                <w:b/>
                <w:szCs w:val="21"/>
              </w:rPr>
              <w:t>收益分配方式</w:t>
            </w:r>
          </w:p>
        </w:tc>
        <w:tc>
          <w:tcPr>
            <w:tcW w:w="7113" w:type="dxa"/>
            <w:shd w:val="clear" w:color="auto" w:fill="FFFFFF"/>
            <w:vAlign w:val="center"/>
          </w:tcPr>
          <w:p w14:paraId="3C386CB1" w14:textId="78F6A566" w:rsidR="00F833EB" w:rsidRPr="002D0AC1" w:rsidRDefault="00F833EB" w:rsidP="00EC4D36">
            <w:pPr>
              <w:rPr>
                <w:rFonts w:ascii="仿宋" w:eastAsia="仿宋" w:hAnsi="仿宋"/>
                <w:szCs w:val="21"/>
              </w:rPr>
            </w:pPr>
            <w:r w:rsidRPr="00E028A1">
              <w:rPr>
                <w:rFonts w:ascii="仿宋" w:eastAsia="仿宋" w:hAnsi="仿宋" w:hint="eastAsia"/>
                <w:szCs w:val="21"/>
              </w:rPr>
              <w:t>本养老金产品不分配收益</w:t>
            </w:r>
            <w:r w:rsidR="00EC4D36">
              <w:rPr>
                <w:rFonts w:ascii="仿宋" w:eastAsia="仿宋" w:hAnsi="仿宋" w:hint="eastAsia"/>
                <w:szCs w:val="21"/>
              </w:rPr>
              <w:t>。</w:t>
            </w:r>
          </w:p>
        </w:tc>
      </w:tr>
      <w:tr w:rsidR="00F833EB" w:rsidRPr="002D0AC1" w14:paraId="5511893C" w14:textId="77777777" w:rsidTr="00F833EB">
        <w:trPr>
          <w:trHeight w:hRule="exact" w:val="1415"/>
        </w:trPr>
        <w:tc>
          <w:tcPr>
            <w:tcW w:w="1809" w:type="dxa"/>
            <w:shd w:val="clear" w:color="auto" w:fill="FFFFFF"/>
            <w:vAlign w:val="center"/>
          </w:tcPr>
          <w:p w14:paraId="563B50A5" w14:textId="77777777" w:rsidR="00F833EB" w:rsidRPr="002D0AC1" w:rsidRDefault="00F833EB" w:rsidP="00F833EB">
            <w:pPr>
              <w:rPr>
                <w:rFonts w:ascii="仿宋" w:eastAsia="仿宋" w:hAnsi="仿宋"/>
                <w:b/>
                <w:szCs w:val="21"/>
              </w:rPr>
            </w:pPr>
            <w:r w:rsidRPr="002D0AC1">
              <w:rPr>
                <w:rFonts w:ascii="仿宋" w:eastAsia="仿宋" w:hAnsi="仿宋" w:hint="eastAsia"/>
                <w:b/>
                <w:szCs w:val="21"/>
              </w:rPr>
              <w:t>募集期申购方式</w:t>
            </w:r>
          </w:p>
        </w:tc>
        <w:tc>
          <w:tcPr>
            <w:tcW w:w="7113" w:type="dxa"/>
            <w:shd w:val="clear" w:color="auto" w:fill="FFFFFF"/>
            <w:vAlign w:val="center"/>
          </w:tcPr>
          <w:p w14:paraId="512A0BBF" w14:textId="779F13FA" w:rsidR="00F833EB" w:rsidRPr="002D0AC1" w:rsidRDefault="00F833EB" w:rsidP="00F833EB">
            <w:pPr>
              <w:rPr>
                <w:rFonts w:ascii="仿宋" w:eastAsia="仿宋" w:hAnsi="仿宋" w:hint="eastAsia"/>
                <w:szCs w:val="21"/>
              </w:rPr>
            </w:pPr>
            <w:r w:rsidRPr="002D0AC1">
              <w:rPr>
                <w:rFonts w:ascii="仿宋" w:eastAsia="仿宋" w:hAnsi="仿宋" w:hint="eastAsia"/>
                <w:szCs w:val="21"/>
              </w:rPr>
              <w:t>养老金产品投资人在募集期申购成功，养老金产品投资管理人根据其已缴付的申购款项本金以及申购申请确认日起至产品成立日（不含成立日当天）的对应期限银行活期存款利息，按照初始单位净值折算成份额通知注册登记人予以记录，其中利息转份额以产品注册登记机构的记录为准。</w:t>
            </w:r>
          </w:p>
        </w:tc>
      </w:tr>
      <w:tr w:rsidR="00F833EB" w:rsidRPr="002D0AC1" w14:paraId="27791659" w14:textId="77777777" w:rsidTr="00F833EB">
        <w:trPr>
          <w:trHeight w:hRule="exact" w:val="712"/>
        </w:trPr>
        <w:tc>
          <w:tcPr>
            <w:tcW w:w="1809" w:type="dxa"/>
            <w:shd w:val="clear" w:color="auto" w:fill="FFFFFF"/>
            <w:vAlign w:val="center"/>
          </w:tcPr>
          <w:p w14:paraId="78E7F5ED" w14:textId="295EEF55" w:rsidR="00F833EB" w:rsidRPr="002D0AC1" w:rsidRDefault="00F833EB" w:rsidP="00F833EB">
            <w:pPr>
              <w:rPr>
                <w:rFonts w:ascii="仿宋" w:eastAsia="仿宋" w:hAnsi="仿宋" w:hint="eastAsia"/>
                <w:b/>
                <w:szCs w:val="21"/>
              </w:rPr>
            </w:pPr>
            <w:r w:rsidRPr="00F833EB">
              <w:rPr>
                <w:rFonts w:ascii="仿宋" w:eastAsia="仿宋" w:hAnsi="仿宋" w:hint="eastAsia"/>
                <w:b/>
                <w:szCs w:val="21"/>
              </w:rPr>
              <w:t>开放期申购方式</w:t>
            </w:r>
          </w:p>
        </w:tc>
        <w:tc>
          <w:tcPr>
            <w:tcW w:w="7113" w:type="dxa"/>
            <w:shd w:val="clear" w:color="auto" w:fill="FFFFFF"/>
            <w:vAlign w:val="center"/>
          </w:tcPr>
          <w:p w14:paraId="75D27FAD" w14:textId="6E3262CC" w:rsidR="00F833EB" w:rsidRPr="002D0AC1" w:rsidRDefault="00F833EB" w:rsidP="00F833EB">
            <w:pPr>
              <w:rPr>
                <w:rFonts w:ascii="仿宋" w:eastAsia="仿宋" w:hAnsi="仿宋" w:hint="eastAsia"/>
                <w:szCs w:val="21"/>
              </w:rPr>
            </w:pPr>
            <w:r w:rsidRPr="00F833EB">
              <w:rPr>
                <w:rFonts w:ascii="仿宋" w:eastAsia="仿宋" w:hAnsi="仿宋" w:hint="eastAsia"/>
                <w:szCs w:val="21"/>
              </w:rPr>
              <w:t>养老金产品投资人在开放期申购成功，养老金产品投资管理人根据其已缴付的申购款项按照单位净值折算成份额通知注册登记人予以记录。</w:t>
            </w:r>
          </w:p>
        </w:tc>
      </w:tr>
      <w:tr w:rsidR="00F833EB" w:rsidRPr="002D0AC1" w14:paraId="18021516" w14:textId="77777777" w:rsidTr="00F833EB">
        <w:trPr>
          <w:trHeight w:hRule="exact" w:val="4121"/>
        </w:trPr>
        <w:tc>
          <w:tcPr>
            <w:tcW w:w="1809" w:type="dxa"/>
            <w:shd w:val="clear" w:color="auto" w:fill="FFFFFF"/>
            <w:vAlign w:val="center"/>
          </w:tcPr>
          <w:p w14:paraId="0FD5C4D1" w14:textId="77777777" w:rsidR="00F833EB" w:rsidRPr="002D0AC1" w:rsidRDefault="00F833EB" w:rsidP="00F833EB">
            <w:pPr>
              <w:rPr>
                <w:rFonts w:ascii="仿宋" w:eastAsia="仿宋" w:hAnsi="仿宋"/>
                <w:b/>
                <w:szCs w:val="21"/>
              </w:rPr>
            </w:pPr>
            <w:r w:rsidRPr="002D0AC1">
              <w:rPr>
                <w:rFonts w:ascii="仿宋" w:eastAsia="仿宋" w:hAnsi="仿宋" w:hint="eastAsia"/>
                <w:b/>
                <w:szCs w:val="21"/>
              </w:rPr>
              <w:lastRenderedPageBreak/>
              <w:t>申赎规则</w:t>
            </w:r>
          </w:p>
        </w:tc>
        <w:tc>
          <w:tcPr>
            <w:tcW w:w="7113" w:type="dxa"/>
            <w:shd w:val="clear" w:color="auto" w:fill="FFFFFF"/>
            <w:vAlign w:val="center"/>
          </w:tcPr>
          <w:p w14:paraId="3788988C" w14:textId="77777777" w:rsidR="00F833EB" w:rsidRPr="00F833EB" w:rsidRDefault="00F833EB" w:rsidP="00F833EB">
            <w:pPr>
              <w:rPr>
                <w:rFonts w:ascii="仿宋" w:eastAsia="仿宋" w:hAnsi="仿宋" w:hint="eastAsia"/>
                <w:szCs w:val="21"/>
              </w:rPr>
            </w:pPr>
            <w:r w:rsidRPr="00F833EB">
              <w:rPr>
                <w:rFonts w:ascii="仿宋" w:eastAsia="仿宋" w:hAnsi="仿宋" w:hint="eastAsia"/>
                <w:szCs w:val="21"/>
              </w:rPr>
              <w:t>1、养老金产品投资管理人对开放日（成立日）结束前受理申购和赎回申请有效性进行确认。投资人或份额持有人可在开放日结束后 2个工作日内获知确认情况。若养老金产品投资人申购不成功或无效，养老金产品投资管理人将份额持有人已缴付的申购款项本金于5个交易日内退还给养老金产品投资人。因养老金产品成立失败导致投资人申购失败的，除本金退回外，退回对应期间银行活期存款利息。</w:t>
            </w:r>
          </w:p>
          <w:p w14:paraId="5246F108" w14:textId="77777777" w:rsidR="00F833EB" w:rsidRDefault="00F833EB" w:rsidP="00F833EB">
            <w:pPr>
              <w:rPr>
                <w:rFonts w:ascii="仿宋" w:eastAsia="仿宋" w:hAnsi="仿宋"/>
                <w:szCs w:val="21"/>
              </w:rPr>
            </w:pPr>
            <w:r w:rsidRPr="00F833EB">
              <w:rPr>
                <w:rFonts w:ascii="仿宋" w:eastAsia="仿宋" w:hAnsi="仿宋" w:hint="eastAsia"/>
                <w:szCs w:val="21"/>
              </w:rPr>
              <w:t xml:space="preserve"> 2、份额持有人赎回申请确认后，正常情况下，养老金产品投资管理人将在交易日结束后指示养老金产品托管人按有关规定将赎回款项从养老金产品资金托管账户划出, 赎回款项自份额持有人赎回申请确认后不晚于5个交易日内划至投资人账户。在发生巨额赎回时，款项的支付办法按本养老金产品投资管理合同及本说明书有关规定处理。</w:t>
            </w:r>
          </w:p>
          <w:p w14:paraId="2E5F45B6" w14:textId="7BA23936" w:rsidR="00F833EB" w:rsidRPr="002D0AC1" w:rsidRDefault="00F833EB" w:rsidP="00F833EB">
            <w:pPr>
              <w:rPr>
                <w:rFonts w:ascii="仿宋" w:eastAsia="仿宋" w:hAnsi="仿宋" w:hint="eastAsia"/>
                <w:szCs w:val="21"/>
              </w:rPr>
            </w:pPr>
            <w:r>
              <w:rPr>
                <w:rFonts w:ascii="仿宋" w:eastAsia="仿宋" w:hAnsi="仿宋" w:hint="eastAsia"/>
                <w:szCs w:val="21"/>
              </w:rPr>
              <w:t>关于</w:t>
            </w:r>
            <w:r>
              <w:rPr>
                <w:rFonts w:ascii="仿宋" w:eastAsia="仿宋" w:hAnsi="仿宋"/>
                <w:szCs w:val="21"/>
              </w:rPr>
              <w:t>本产品的申购与赎回，详见</w:t>
            </w:r>
            <w:r>
              <w:rPr>
                <w:rFonts w:ascii="仿宋" w:eastAsia="仿宋" w:hAnsi="仿宋"/>
                <w:szCs w:val="21"/>
              </w:rPr>
              <w:t>本产品</w:t>
            </w:r>
            <w:r>
              <w:rPr>
                <w:rFonts w:ascii="仿宋" w:eastAsia="仿宋" w:hAnsi="仿宋" w:hint="eastAsia"/>
                <w:szCs w:val="21"/>
              </w:rPr>
              <w:t>《</w:t>
            </w:r>
            <w:r>
              <w:rPr>
                <w:rFonts w:ascii="仿宋" w:eastAsia="仿宋" w:hAnsi="仿宋"/>
                <w:szCs w:val="21"/>
              </w:rPr>
              <w:t>投资管理合同</w:t>
            </w:r>
            <w:r>
              <w:rPr>
                <w:rFonts w:ascii="仿宋" w:eastAsia="仿宋" w:hAnsi="仿宋" w:hint="eastAsia"/>
                <w:szCs w:val="21"/>
              </w:rPr>
              <w:t>》</w:t>
            </w:r>
            <w:r>
              <w:rPr>
                <w:rFonts w:ascii="仿宋" w:eastAsia="仿宋" w:hAnsi="仿宋"/>
                <w:szCs w:val="21"/>
              </w:rPr>
              <w:t>与</w:t>
            </w:r>
            <w:r>
              <w:rPr>
                <w:rFonts w:ascii="仿宋" w:eastAsia="仿宋" w:hAnsi="仿宋" w:hint="eastAsia"/>
                <w:szCs w:val="21"/>
              </w:rPr>
              <w:t>《</w:t>
            </w:r>
            <w:r>
              <w:rPr>
                <w:rFonts w:ascii="仿宋" w:eastAsia="仿宋" w:hAnsi="仿宋"/>
                <w:szCs w:val="21"/>
              </w:rPr>
              <w:t>投资说明书</w:t>
            </w:r>
            <w:r>
              <w:rPr>
                <w:rFonts w:ascii="仿宋" w:eastAsia="仿宋" w:hAnsi="仿宋" w:hint="eastAsia"/>
                <w:szCs w:val="21"/>
              </w:rPr>
              <w:t>》</w:t>
            </w:r>
            <w:r>
              <w:rPr>
                <w:rFonts w:ascii="仿宋" w:eastAsia="仿宋" w:hAnsi="仿宋"/>
                <w:szCs w:val="21"/>
              </w:rPr>
              <w:t>。</w:t>
            </w:r>
          </w:p>
        </w:tc>
      </w:tr>
      <w:tr w:rsidR="00F833EB" w:rsidRPr="002D0AC1" w14:paraId="0F820CF6" w14:textId="77777777" w:rsidTr="00E028A1">
        <w:trPr>
          <w:trHeight w:hRule="exact" w:val="573"/>
        </w:trPr>
        <w:tc>
          <w:tcPr>
            <w:tcW w:w="1809" w:type="dxa"/>
            <w:shd w:val="clear" w:color="auto" w:fill="FFFFFF"/>
            <w:vAlign w:val="center"/>
          </w:tcPr>
          <w:p w14:paraId="22EFA8C9" w14:textId="77777777" w:rsidR="00F833EB" w:rsidRPr="002D0AC1" w:rsidRDefault="00F833EB" w:rsidP="00F833EB">
            <w:pPr>
              <w:rPr>
                <w:rFonts w:ascii="仿宋" w:eastAsia="仿宋" w:hAnsi="仿宋"/>
                <w:b/>
                <w:szCs w:val="21"/>
              </w:rPr>
            </w:pPr>
            <w:r w:rsidRPr="002D0AC1">
              <w:rPr>
                <w:rFonts w:ascii="仿宋" w:eastAsia="仿宋" w:hAnsi="仿宋"/>
                <w:b/>
                <w:szCs w:val="21"/>
              </w:rPr>
              <w:t>投资经理</w:t>
            </w:r>
          </w:p>
        </w:tc>
        <w:tc>
          <w:tcPr>
            <w:tcW w:w="7113" w:type="dxa"/>
            <w:shd w:val="clear" w:color="auto" w:fill="FFFFFF"/>
            <w:vAlign w:val="center"/>
          </w:tcPr>
          <w:p w14:paraId="5F2AFEE9" w14:textId="61AD25A6" w:rsidR="00F833EB" w:rsidRPr="002D0AC1" w:rsidRDefault="002462C8" w:rsidP="00F833EB">
            <w:pPr>
              <w:rPr>
                <w:rFonts w:ascii="仿宋" w:eastAsia="仿宋" w:hAnsi="仿宋" w:hint="eastAsia"/>
                <w:szCs w:val="21"/>
              </w:rPr>
            </w:pPr>
            <w:r>
              <w:rPr>
                <w:rFonts w:ascii="仿宋" w:eastAsia="仿宋" w:hAnsi="仿宋" w:hint="eastAsia"/>
                <w:szCs w:val="21"/>
              </w:rPr>
              <w:t>张</w:t>
            </w:r>
            <w:r>
              <w:rPr>
                <w:rFonts w:ascii="仿宋" w:eastAsia="仿宋" w:hAnsi="仿宋"/>
                <w:szCs w:val="21"/>
              </w:rPr>
              <w:t>金涛、满臻</w:t>
            </w:r>
          </w:p>
        </w:tc>
      </w:tr>
    </w:tbl>
    <w:p w14:paraId="0B37E474" w14:textId="77777777" w:rsidR="000677C4" w:rsidRDefault="000677C4"/>
    <w:sectPr w:rsidR="000677C4" w:rsidSect="0096055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433121" w14:textId="77777777" w:rsidR="009877D2" w:rsidRDefault="009877D2" w:rsidP="00D31557">
      <w:r>
        <w:separator/>
      </w:r>
    </w:p>
  </w:endnote>
  <w:endnote w:type="continuationSeparator" w:id="0">
    <w:p w14:paraId="101BF813" w14:textId="77777777" w:rsidR="009877D2" w:rsidRDefault="009877D2" w:rsidP="00D31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75229B" w14:textId="77777777" w:rsidR="009877D2" w:rsidRDefault="009877D2" w:rsidP="00D31557">
      <w:r>
        <w:separator/>
      </w:r>
    </w:p>
  </w:footnote>
  <w:footnote w:type="continuationSeparator" w:id="0">
    <w:p w14:paraId="6F99E31E" w14:textId="77777777" w:rsidR="009877D2" w:rsidRDefault="009877D2" w:rsidP="00D315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E7D41"/>
    <w:rsid w:val="00062A50"/>
    <w:rsid w:val="000677C4"/>
    <w:rsid w:val="00093289"/>
    <w:rsid w:val="000B6343"/>
    <w:rsid w:val="000E4F8A"/>
    <w:rsid w:val="000F77C5"/>
    <w:rsid w:val="001347B7"/>
    <w:rsid w:val="00134F52"/>
    <w:rsid w:val="001364F3"/>
    <w:rsid w:val="00142538"/>
    <w:rsid w:val="00154BD4"/>
    <w:rsid w:val="001B0897"/>
    <w:rsid w:val="001D1871"/>
    <w:rsid w:val="002462C8"/>
    <w:rsid w:val="002477E8"/>
    <w:rsid w:val="00250F5D"/>
    <w:rsid w:val="00252477"/>
    <w:rsid w:val="00270961"/>
    <w:rsid w:val="00276E86"/>
    <w:rsid w:val="002822F0"/>
    <w:rsid w:val="002D0AC1"/>
    <w:rsid w:val="002E7CD6"/>
    <w:rsid w:val="00306B18"/>
    <w:rsid w:val="00315304"/>
    <w:rsid w:val="00333505"/>
    <w:rsid w:val="003503BE"/>
    <w:rsid w:val="0036734D"/>
    <w:rsid w:val="00386744"/>
    <w:rsid w:val="00421332"/>
    <w:rsid w:val="004247CC"/>
    <w:rsid w:val="004470CC"/>
    <w:rsid w:val="004676D4"/>
    <w:rsid w:val="00477A1A"/>
    <w:rsid w:val="004B1168"/>
    <w:rsid w:val="00501323"/>
    <w:rsid w:val="00534A76"/>
    <w:rsid w:val="0057377E"/>
    <w:rsid w:val="00586967"/>
    <w:rsid w:val="005A3A91"/>
    <w:rsid w:val="005A43C4"/>
    <w:rsid w:val="005B6E89"/>
    <w:rsid w:val="00627EDD"/>
    <w:rsid w:val="00640163"/>
    <w:rsid w:val="00664123"/>
    <w:rsid w:val="00664D02"/>
    <w:rsid w:val="00691ECF"/>
    <w:rsid w:val="00696793"/>
    <w:rsid w:val="006C2AFC"/>
    <w:rsid w:val="007B2DCE"/>
    <w:rsid w:val="007E1441"/>
    <w:rsid w:val="007F1320"/>
    <w:rsid w:val="007F52FB"/>
    <w:rsid w:val="007F57BC"/>
    <w:rsid w:val="008019B0"/>
    <w:rsid w:val="0080683B"/>
    <w:rsid w:val="00816A11"/>
    <w:rsid w:val="00820A7A"/>
    <w:rsid w:val="00851AB3"/>
    <w:rsid w:val="008650A0"/>
    <w:rsid w:val="0088302A"/>
    <w:rsid w:val="00886560"/>
    <w:rsid w:val="008C432D"/>
    <w:rsid w:val="008E4188"/>
    <w:rsid w:val="008F18B6"/>
    <w:rsid w:val="009065B7"/>
    <w:rsid w:val="00914106"/>
    <w:rsid w:val="009155AA"/>
    <w:rsid w:val="00960554"/>
    <w:rsid w:val="009675B5"/>
    <w:rsid w:val="009877D2"/>
    <w:rsid w:val="009A220F"/>
    <w:rsid w:val="009D1CC4"/>
    <w:rsid w:val="009E7EC5"/>
    <w:rsid w:val="00A129C3"/>
    <w:rsid w:val="00A7148A"/>
    <w:rsid w:val="00A828FE"/>
    <w:rsid w:val="00A84F36"/>
    <w:rsid w:val="00A90BBE"/>
    <w:rsid w:val="00AD021C"/>
    <w:rsid w:val="00AD7A06"/>
    <w:rsid w:val="00AF26B8"/>
    <w:rsid w:val="00B03022"/>
    <w:rsid w:val="00B26254"/>
    <w:rsid w:val="00B332C2"/>
    <w:rsid w:val="00B34069"/>
    <w:rsid w:val="00B42BB3"/>
    <w:rsid w:val="00B62589"/>
    <w:rsid w:val="00B802BB"/>
    <w:rsid w:val="00BA447E"/>
    <w:rsid w:val="00C10DEF"/>
    <w:rsid w:val="00C20F57"/>
    <w:rsid w:val="00C3446E"/>
    <w:rsid w:val="00CE7D41"/>
    <w:rsid w:val="00CF2FDF"/>
    <w:rsid w:val="00CF6911"/>
    <w:rsid w:val="00D23076"/>
    <w:rsid w:val="00D31557"/>
    <w:rsid w:val="00D81BAC"/>
    <w:rsid w:val="00D90323"/>
    <w:rsid w:val="00D93C4A"/>
    <w:rsid w:val="00DD2C88"/>
    <w:rsid w:val="00E028A1"/>
    <w:rsid w:val="00E14F50"/>
    <w:rsid w:val="00E31749"/>
    <w:rsid w:val="00EA7D4B"/>
    <w:rsid w:val="00EB0199"/>
    <w:rsid w:val="00EC4D36"/>
    <w:rsid w:val="00EC73CA"/>
    <w:rsid w:val="00ED1014"/>
    <w:rsid w:val="00ED3ADC"/>
    <w:rsid w:val="00EE6194"/>
    <w:rsid w:val="00EF5AB7"/>
    <w:rsid w:val="00F03AE3"/>
    <w:rsid w:val="00F1588F"/>
    <w:rsid w:val="00F25070"/>
    <w:rsid w:val="00F37A38"/>
    <w:rsid w:val="00F47737"/>
    <w:rsid w:val="00F81F63"/>
    <w:rsid w:val="00F833EB"/>
    <w:rsid w:val="00F95662"/>
    <w:rsid w:val="00FE50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EFBF22"/>
  <w15:docId w15:val="{BCA031A6-6639-4AEB-9019-F66C4597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05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315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31557"/>
    <w:rPr>
      <w:sz w:val="18"/>
      <w:szCs w:val="18"/>
    </w:rPr>
  </w:style>
  <w:style w:type="paragraph" w:styleId="a4">
    <w:name w:val="footer"/>
    <w:basedOn w:val="a"/>
    <w:link w:val="Char0"/>
    <w:uiPriority w:val="99"/>
    <w:unhideWhenUsed/>
    <w:rsid w:val="00D31557"/>
    <w:pPr>
      <w:tabs>
        <w:tab w:val="center" w:pos="4153"/>
        <w:tab w:val="right" w:pos="8306"/>
      </w:tabs>
      <w:snapToGrid w:val="0"/>
      <w:jc w:val="left"/>
    </w:pPr>
    <w:rPr>
      <w:sz w:val="18"/>
      <w:szCs w:val="18"/>
    </w:rPr>
  </w:style>
  <w:style w:type="character" w:customStyle="1" w:styleId="Char0">
    <w:name w:val="页脚 Char"/>
    <w:basedOn w:val="a0"/>
    <w:link w:val="a4"/>
    <w:uiPriority w:val="99"/>
    <w:rsid w:val="00D31557"/>
    <w:rPr>
      <w:sz w:val="18"/>
      <w:szCs w:val="18"/>
    </w:rPr>
  </w:style>
  <w:style w:type="character" w:styleId="a5">
    <w:name w:val="annotation reference"/>
    <w:basedOn w:val="a0"/>
    <w:uiPriority w:val="99"/>
    <w:semiHidden/>
    <w:unhideWhenUsed/>
    <w:rsid w:val="0036734D"/>
    <w:rPr>
      <w:sz w:val="21"/>
      <w:szCs w:val="21"/>
    </w:rPr>
  </w:style>
  <w:style w:type="paragraph" w:styleId="a6">
    <w:name w:val="annotation text"/>
    <w:basedOn w:val="a"/>
    <w:link w:val="Char1"/>
    <w:uiPriority w:val="99"/>
    <w:semiHidden/>
    <w:unhideWhenUsed/>
    <w:rsid w:val="0036734D"/>
    <w:pPr>
      <w:jc w:val="left"/>
    </w:pPr>
  </w:style>
  <w:style w:type="character" w:customStyle="1" w:styleId="Char1">
    <w:name w:val="批注文字 Char"/>
    <w:basedOn w:val="a0"/>
    <w:link w:val="a6"/>
    <w:uiPriority w:val="99"/>
    <w:semiHidden/>
    <w:rsid w:val="0036734D"/>
  </w:style>
  <w:style w:type="paragraph" w:styleId="a7">
    <w:name w:val="annotation subject"/>
    <w:basedOn w:val="a6"/>
    <w:next w:val="a6"/>
    <w:link w:val="Char2"/>
    <w:uiPriority w:val="99"/>
    <w:semiHidden/>
    <w:unhideWhenUsed/>
    <w:rsid w:val="0036734D"/>
    <w:rPr>
      <w:b/>
      <w:bCs/>
    </w:rPr>
  </w:style>
  <w:style w:type="character" w:customStyle="1" w:styleId="Char2">
    <w:name w:val="批注主题 Char"/>
    <w:basedOn w:val="Char1"/>
    <w:link w:val="a7"/>
    <w:uiPriority w:val="99"/>
    <w:semiHidden/>
    <w:rsid w:val="0036734D"/>
    <w:rPr>
      <w:b/>
      <w:bCs/>
    </w:rPr>
  </w:style>
  <w:style w:type="paragraph" w:styleId="a8">
    <w:name w:val="Balloon Text"/>
    <w:basedOn w:val="a"/>
    <w:link w:val="Char3"/>
    <w:uiPriority w:val="99"/>
    <w:semiHidden/>
    <w:unhideWhenUsed/>
    <w:rsid w:val="0036734D"/>
    <w:rPr>
      <w:sz w:val="18"/>
      <w:szCs w:val="18"/>
    </w:rPr>
  </w:style>
  <w:style w:type="character" w:customStyle="1" w:styleId="Char3">
    <w:name w:val="批注框文本 Char"/>
    <w:basedOn w:val="a0"/>
    <w:link w:val="a8"/>
    <w:uiPriority w:val="99"/>
    <w:semiHidden/>
    <w:rsid w:val="0036734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391</TotalTime>
  <Pages>5</Pages>
  <Words>553</Words>
  <Characters>3153</Characters>
  <Application>Microsoft Office Word</Application>
  <DocSecurity>0</DocSecurity>
  <Lines>26</Lines>
  <Paragraphs>7</Paragraphs>
  <ScaleCrop>false</ScaleCrop>
  <Company/>
  <LinksUpToDate>false</LinksUpToDate>
  <CharactersWithSpaces>3699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程璞</dc:creator>
  <cp:keywords/>
  <dc:description/>
  <cp:lastModifiedBy>程璞</cp:lastModifiedBy>
  <cp:revision>65</cp:revision>
  <dcterms:created xsi:type="dcterms:W3CDTF">2017-12-19T02:59:00Z</dcterms:created>
  <dcterms:modified xsi:type="dcterms:W3CDTF">2019-09-11T09:09:00Z</dcterms:modified>
</cp:coreProperties>
</file>