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600" w:lineRule="exact"/>
        <w:jc w:val="center"/>
        <w:textAlignment w:val="auto"/>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中国太平洋人寿保险股份有限公司</w:t>
      </w:r>
    </w:p>
    <w:p>
      <w:pPr>
        <w:keepNext w:val="0"/>
        <w:keepLines w:val="0"/>
        <w:pageBreakBefore w:val="0"/>
        <w:kinsoku/>
        <w:wordWrap/>
        <w:overflowPunct/>
        <w:topLinePunct w:val="0"/>
        <w:bidi w:val="0"/>
        <w:adjustRightInd/>
        <w:snapToGrid/>
        <w:spacing w:line="600" w:lineRule="exact"/>
        <w:jc w:val="center"/>
        <w:textAlignment w:val="auto"/>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太保附加长相护长期护理保险</w:t>
      </w:r>
    </w:p>
    <w:p>
      <w:pPr>
        <w:keepNext w:val="0"/>
        <w:keepLines w:val="0"/>
        <w:pageBreakBefore w:val="0"/>
        <w:kinsoku/>
        <w:wordWrap/>
        <w:overflowPunct/>
        <w:topLinePunct w:val="0"/>
        <w:bidi w:val="0"/>
        <w:adjustRightInd/>
        <w:snapToGrid/>
        <w:spacing w:line="600" w:lineRule="exact"/>
        <w:jc w:val="center"/>
        <w:textAlignment w:val="auto"/>
        <w:rPr>
          <w:rFonts w:hint="eastAsia" w:ascii="宋体" w:hAnsi="宋体" w:eastAsia="宋体" w:cstheme="minorBidi"/>
          <w:b/>
          <w:kern w:val="44"/>
          <w:sz w:val="28"/>
          <w:szCs w:val="24"/>
          <w:lang w:val="en-US" w:eastAsia="zh-CN" w:bidi="ar-SA"/>
        </w:rPr>
      </w:pPr>
      <w:r>
        <w:rPr>
          <w:rFonts w:hint="eastAsia" w:ascii="宋体" w:hAnsi="宋体" w:eastAsia="宋体" w:cs="宋体"/>
          <w:b/>
          <w:bCs/>
          <w:color w:val="auto"/>
          <w:sz w:val="28"/>
          <w:szCs w:val="36"/>
          <w:lang w:val="en-US" w:eastAsia="zh-CN"/>
        </w:rPr>
        <w:t>健康管理服务手册</w:t>
      </w:r>
    </w:p>
    <w:p>
      <w:pPr>
        <w:jc w:val="center"/>
        <w:rPr>
          <w:rFonts w:hint="eastAsia" w:ascii="宋体" w:hAnsi="宋体" w:eastAsia="宋体" w:cstheme="minorBidi"/>
          <w:b/>
          <w:kern w:val="44"/>
          <w:sz w:val="28"/>
          <w:szCs w:val="24"/>
          <w:lang w:val="en-US" w:eastAsia="zh-CN" w:bidi="ar-SA"/>
        </w:rPr>
      </w:pPr>
    </w:p>
    <w:p>
      <w:pPr>
        <w:keepNext w:val="0"/>
        <w:keepLines w:val="0"/>
        <w:pageBreakBefore w:val="0"/>
        <w:kinsoku/>
        <w:wordWrap/>
        <w:overflowPunct/>
        <w:topLinePunct w:val="0"/>
        <w:bidi w:val="0"/>
        <w:adjustRightInd/>
        <w:snapToGrid/>
        <w:spacing w:line="600" w:lineRule="exact"/>
        <w:ind w:firstLine="420"/>
        <w:jc w:val="left"/>
        <w:textAlignment w:val="auto"/>
        <w:rPr>
          <w:rFonts w:hint="eastAsia" w:ascii="宋体" w:hAnsi="宋体" w:eastAsia="宋体" w:cs="宋体"/>
          <w:color w:val="auto"/>
          <w:szCs w:val="22"/>
          <w:lang w:val="en-US" w:eastAsia="zh-CN"/>
        </w:rPr>
      </w:pPr>
      <w:r>
        <w:rPr>
          <w:rFonts w:hint="eastAsia" w:ascii="宋体" w:hAnsi="宋体" w:eastAsia="宋体" w:cs="宋体"/>
          <w:color w:val="auto"/>
          <w:szCs w:val="22"/>
          <w:lang w:val="en-US" w:eastAsia="zh-CN"/>
        </w:rPr>
        <w:t>感谢您选择中国太平洋人寿保险股份有限公司，很荣幸为您提供服务。</w:t>
      </w:r>
    </w:p>
    <w:p>
      <w:pPr>
        <w:keepNext w:val="0"/>
        <w:keepLines w:val="0"/>
        <w:pageBreakBefore w:val="0"/>
        <w:kinsoku/>
        <w:wordWrap/>
        <w:overflowPunct/>
        <w:topLinePunct w:val="0"/>
        <w:bidi w:val="0"/>
        <w:adjustRightInd/>
        <w:snapToGrid/>
        <w:spacing w:line="600" w:lineRule="exact"/>
        <w:ind w:firstLine="420"/>
        <w:jc w:val="left"/>
        <w:textAlignment w:val="auto"/>
        <w:rPr>
          <w:rFonts w:hint="eastAsia" w:ascii="宋体" w:hAnsi="宋体" w:eastAsia="宋体" w:cs="宋体"/>
          <w:color w:val="auto"/>
          <w:szCs w:val="22"/>
          <w:lang w:val="en-US" w:eastAsia="zh-CN"/>
        </w:rPr>
      </w:pPr>
      <w:r>
        <w:rPr>
          <w:rFonts w:hint="eastAsia" w:ascii="宋体" w:hAnsi="宋体" w:eastAsia="宋体" w:cs="宋体"/>
          <w:color w:val="auto"/>
          <w:szCs w:val="22"/>
          <w:lang w:val="en-US" w:eastAsia="zh-CN"/>
        </w:rPr>
        <w:t>您的《太保附加长相护长期护理保险》保险合同（以下简称“保险合同”）由中国太平洋人寿保险股份有限公司（以下简称“本公司”）承保，并承担在保险合同中约定的给付保险金的责任。</w:t>
      </w:r>
    </w:p>
    <w:p>
      <w:pPr>
        <w:keepNext w:val="0"/>
        <w:keepLines w:val="0"/>
        <w:pageBreakBefore w:val="0"/>
        <w:kinsoku/>
        <w:wordWrap/>
        <w:overflowPunct/>
        <w:topLinePunct w:val="0"/>
        <w:bidi w:val="0"/>
        <w:adjustRightInd/>
        <w:snapToGrid/>
        <w:spacing w:line="600" w:lineRule="exact"/>
        <w:ind w:firstLine="420"/>
        <w:jc w:val="left"/>
        <w:textAlignment w:val="auto"/>
        <w:rPr>
          <w:rFonts w:hint="eastAsia" w:ascii="宋体" w:hAnsi="宋体" w:eastAsia="宋体" w:cs="宋体"/>
          <w:color w:val="auto"/>
          <w:szCs w:val="22"/>
          <w:lang w:val="en-US" w:eastAsia="zh-CN"/>
        </w:rPr>
      </w:pPr>
      <w:r>
        <w:rPr>
          <w:rFonts w:hint="eastAsia" w:ascii="宋体" w:hAnsi="宋体" w:eastAsia="宋体" w:cs="宋体"/>
          <w:color w:val="auto"/>
          <w:szCs w:val="22"/>
          <w:lang w:val="en-US" w:eastAsia="zh-CN"/>
        </w:rPr>
        <w:t>由太平洋寿险签约的成都杉泰互联网医院有限公司为您提供在本服务手册中约定的以下健康管理服务：</w:t>
      </w:r>
    </w:p>
    <w:p>
      <w:pPr>
        <w:keepNext w:val="0"/>
        <w:keepLines w:val="0"/>
        <w:pageBreakBefore w:val="0"/>
        <w:numPr>
          <w:ilvl w:val="0"/>
          <w:numId w:val="1"/>
        </w:numPr>
        <w:kinsoku/>
        <w:wordWrap/>
        <w:overflowPunct/>
        <w:topLinePunct w:val="0"/>
        <w:bidi w:val="0"/>
        <w:adjustRightInd/>
        <w:snapToGrid/>
        <w:spacing w:before="156" w:beforeLines="50" w:after="156" w:afterLines="50" w:line="60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阿尔茨海默症基因检测风险</w:t>
      </w:r>
    </w:p>
    <w:p>
      <w:pPr>
        <w:keepNext w:val="0"/>
        <w:keepLines w:val="0"/>
        <w:pageBreakBefore w:val="0"/>
        <w:numPr>
          <w:ilvl w:val="0"/>
          <w:numId w:val="1"/>
        </w:numPr>
        <w:kinsoku/>
        <w:wordWrap/>
        <w:overflowPunct/>
        <w:topLinePunct w:val="0"/>
        <w:bidi w:val="0"/>
        <w:adjustRightInd/>
        <w:snapToGrid/>
        <w:spacing w:before="156" w:beforeLines="50" w:after="156" w:afterLines="50" w:line="60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认知障碍风险评估</w:t>
      </w:r>
    </w:p>
    <w:p>
      <w:pPr>
        <w:keepNext w:val="0"/>
        <w:keepLines w:val="0"/>
        <w:pageBreakBefore w:val="0"/>
        <w:numPr>
          <w:ilvl w:val="0"/>
          <w:numId w:val="1"/>
        </w:numPr>
        <w:kinsoku/>
        <w:wordWrap/>
        <w:overflowPunct/>
        <w:topLinePunct w:val="0"/>
        <w:bidi w:val="0"/>
        <w:adjustRightInd/>
        <w:snapToGrid/>
        <w:spacing w:before="156" w:beforeLines="50" w:after="156" w:afterLines="50" w:line="60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认知管理服务</w:t>
      </w:r>
    </w:p>
    <w:p>
      <w:pPr>
        <w:keepNext w:val="0"/>
        <w:keepLines w:val="0"/>
        <w:pageBreakBefore w:val="0"/>
        <w:numPr>
          <w:ilvl w:val="0"/>
          <w:numId w:val="1"/>
        </w:numPr>
        <w:kinsoku/>
        <w:wordWrap/>
        <w:overflowPunct/>
        <w:topLinePunct w:val="0"/>
        <w:bidi w:val="0"/>
        <w:adjustRightInd/>
        <w:snapToGrid/>
        <w:spacing w:before="156" w:beforeLines="50" w:after="156" w:afterLines="50" w:line="60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家庭医生服务</w:t>
      </w:r>
    </w:p>
    <w:p>
      <w:pPr>
        <w:keepNext w:val="0"/>
        <w:keepLines w:val="0"/>
        <w:pageBreakBefore w:val="0"/>
        <w:numPr>
          <w:ilvl w:val="0"/>
          <w:numId w:val="1"/>
        </w:numPr>
        <w:kinsoku/>
        <w:wordWrap/>
        <w:overflowPunct/>
        <w:topLinePunct w:val="0"/>
        <w:bidi w:val="0"/>
        <w:adjustRightInd/>
        <w:snapToGrid/>
        <w:spacing w:before="156" w:beforeLines="50" w:after="156" w:afterLines="50" w:line="60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数字健康档案</w:t>
      </w:r>
    </w:p>
    <w:p>
      <w:pPr>
        <w:keepNext w:val="0"/>
        <w:keepLines w:val="0"/>
        <w:pageBreakBefore w:val="0"/>
        <w:kinsoku/>
        <w:wordWrap/>
        <w:overflowPunct/>
        <w:topLinePunct w:val="0"/>
        <w:bidi w:val="0"/>
        <w:adjustRightInd/>
        <w:snapToGrid/>
        <w:spacing w:before="156" w:beforeLines="50" w:after="156" w:afterLines="50" w:line="600" w:lineRule="exac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本</w:t>
      </w:r>
      <w:r>
        <w:rPr>
          <w:rFonts w:hint="eastAsia" w:ascii="宋体" w:hAnsi="宋体" w:eastAsia="宋体" w:cs="宋体"/>
          <w:color w:val="auto"/>
          <w:szCs w:val="21"/>
        </w:rPr>
        <w:t>服务手册旨在帮助您了解上述服务的具体内容及申请流程，以便更好地维护您的权益。</w:t>
      </w:r>
    </w:p>
    <w:p>
      <w:pPr>
        <w:keepNext w:val="0"/>
        <w:keepLines w:val="0"/>
        <w:pageBreakBefore w:val="0"/>
        <w:numPr>
          <w:ilvl w:val="0"/>
          <w:numId w:val="0"/>
        </w:numPr>
        <w:kinsoku/>
        <w:wordWrap/>
        <w:overflowPunct/>
        <w:topLinePunct w:val="0"/>
        <w:bidi w:val="0"/>
        <w:adjustRightInd/>
        <w:snapToGrid/>
        <w:spacing w:before="156" w:beforeLines="50" w:after="156" w:afterLines="50" w:line="600" w:lineRule="exact"/>
        <w:jc w:val="right"/>
        <w:textAlignment w:val="auto"/>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中国</w:t>
      </w:r>
      <w:r>
        <w:rPr>
          <w:rFonts w:hint="eastAsia" w:ascii="宋体" w:hAnsi="宋体" w:eastAsia="宋体" w:cs="宋体"/>
          <w:color w:val="auto"/>
          <w:szCs w:val="21"/>
        </w:rPr>
        <w:t>太平洋</w:t>
      </w:r>
      <w:r>
        <w:rPr>
          <w:rFonts w:hint="eastAsia" w:ascii="宋体" w:hAnsi="宋体" w:eastAsia="宋体" w:cs="宋体"/>
          <w:color w:val="auto"/>
          <w:szCs w:val="21"/>
          <w:lang w:val="en-US" w:eastAsia="zh-CN"/>
        </w:rPr>
        <w:t>人寿</w:t>
      </w:r>
      <w:r>
        <w:rPr>
          <w:rFonts w:hint="eastAsia" w:ascii="宋体" w:hAnsi="宋体" w:eastAsia="宋体" w:cs="宋体"/>
          <w:color w:val="auto"/>
          <w:szCs w:val="21"/>
        </w:rPr>
        <w:t>保险股份有限公司</w:t>
      </w:r>
    </w:p>
    <w:p>
      <w:pPr>
        <w:keepNext w:val="0"/>
        <w:keepLines w:val="0"/>
        <w:pageBreakBefore w:val="0"/>
        <w:numPr>
          <w:ilvl w:val="0"/>
          <w:numId w:val="0"/>
        </w:numPr>
        <w:kinsoku/>
        <w:wordWrap/>
        <w:overflowPunct/>
        <w:topLinePunct w:val="0"/>
        <w:bidi w:val="0"/>
        <w:adjustRightInd/>
        <w:snapToGrid/>
        <w:spacing w:before="156" w:beforeLines="50" w:after="156" w:afterLines="50" w:line="600" w:lineRule="exact"/>
        <w:jc w:val="right"/>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2024年1</w:t>
      </w:r>
      <w:bookmarkStart w:id="0" w:name="_GoBack"/>
      <w:bookmarkEnd w:id="0"/>
      <w:r>
        <w:rPr>
          <w:rFonts w:hint="eastAsia" w:ascii="宋体" w:hAnsi="宋体" w:eastAsia="宋体" w:cs="宋体"/>
          <w:color w:val="auto"/>
          <w:szCs w:val="21"/>
          <w:lang w:val="en-US" w:eastAsia="zh-CN"/>
        </w:rPr>
        <w:t>月</w:t>
      </w:r>
    </w:p>
    <w:p>
      <w:pPr>
        <w:keepNext w:val="0"/>
        <w:keepLines w:val="0"/>
        <w:pageBreakBefore w:val="0"/>
        <w:numPr>
          <w:ilvl w:val="0"/>
          <w:numId w:val="0"/>
        </w:numPr>
        <w:kinsoku/>
        <w:wordWrap/>
        <w:overflowPunct/>
        <w:topLinePunct w:val="0"/>
        <w:bidi w:val="0"/>
        <w:adjustRightInd/>
        <w:snapToGrid/>
        <w:spacing w:before="156" w:beforeLines="50" w:after="156" w:afterLines="50" w:line="600" w:lineRule="exact"/>
        <w:textAlignment w:val="auto"/>
        <w:rPr>
          <w:rFonts w:hint="eastAsia" w:ascii="宋体" w:hAnsi="宋体" w:eastAsia="宋体" w:cs="宋体"/>
          <w:color w:val="auto"/>
          <w:szCs w:val="21"/>
        </w:rPr>
      </w:pPr>
    </w:p>
    <w:p>
      <w:pPr>
        <w:keepNext w:val="0"/>
        <w:keepLines w:val="0"/>
        <w:pageBreakBefore w:val="0"/>
        <w:kinsoku/>
        <w:wordWrap/>
        <w:overflowPunct/>
        <w:topLinePunct w:val="0"/>
        <w:bidi w:val="0"/>
        <w:adjustRightInd/>
        <w:snapToGrid/>
        <w:spacing w:line="600" w:lineRule="exact"/>
        <w:ind w:firstLine="420"/>
        <w:jc w:val="left"/>
        <w:textAlignment w:val="auto"/>
        <w:rPr>
          <w:rFonts w:hint="eastAsia" w:ascii="宋体" w:hAnsi="宋体" w:eastAsia="宋体" w:cs="宋体"/>
          <w:color w:val="auto"/>
          <w:szCs w:val="22"/>
          <w:lang w:val="en-US" w:eastAsia="zh-CN"/>
        </w:rPr>
      </w:pPr>
    </w:p>
    <w:p>
      <w:pPr>
        <w:keepNext w:val="0"/>
        <w:keepLines w:val="0"/>
        <w:pageBreakBefore w:val="0"/>
        <w:kinsoku/>
        <w:wordWrap/>
        <w:overflowPunct/>
        <w:topLinePunct w:val="0"/>
        <w:bidi w:val="0"/>
        <w:adjustRightInd/>
        <w:snapToGrid/>
        <w:spacing w:before="156" w:beforeLines="50" w:after="156" w:afterLines="50" w:line="600" w:lineRule="exact"/>
        <w:ind w:firstLine="420"/>
        <w:textAlignment w:val="auto"/>
        <w:rPr>
          <w:rFonts w:hint="eastAsia" w:ascii="宋体" w:hAnsi="宋体" w:eastAsia="宋体" w:cs="宋体"/>
          <w:color w:val="auto"/>
          <w:szCs w:val="21"/>
        </w:rPr>
      </w:pPr>
      <w:r>
        <w:rPr>
          <w:rFonts w:hint="eastAsia" w:ascii="宋体" w:hAnsi="宋体" w:eastAsia="宋体" w:cs="宋体"/>
          <w:b/>
          <w:bCs/>
          <w:color w:val="auto"/>
          <w:szCs w:val="21"/>
        </w:rPr>
        <w:t>敬请注意：</w:t>
      </w:r>
    </w:p>
    <w:p>
      <w:pPr>
        <w:keepNext w:val="0"/>
        <w:keepLines w:val="0"/>
        <w:pageBreakBefore w:val="0"/>
        <w:kinsoku/>
        <w:wordWrap/>
        <w:overflowPunct/>
        <w:topLinePunct w:val="0"/>
        <w:bidi w:val="0"/>
        <w:adjustRightInd/>
        <w:snapToGrid/>
        <w:spacing w:before="156" w:beforeLines="50" w:after="156" w:afterLines="50" w:line="60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rPr>
        <w:t>本服务手册旨在帮助您更好地使用健康管理服务，如相关内容与保险合同不一致，请以保险合同为准。</w:t>
      </w:r>
    </w:p>
    <w:p>
      <w:pPr>
        <w:keepNext w:val="0"/>
        <w:keepLines w:val="0"/>
        <w:pageBreakBefore w:val="0"/>
        <w:kinsoku/>
        <w:wordWrap/>
        <w:overflowPunct/>
        <w:topLinePunct w:val="0"/>
        <w:bidi w:val="0"/>
        <w:adjustRightInd/>
        <w:snapToGrid/>
        <w:spacing w:before="156" w:beforeLines="50" w:after="156" w:afterLines="50" w:line="60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rPr>
        <w:t>保险合同的保险</w:t>
      </w:r>
      <w:r>
        <w:rPr>
          <w:rFonts w:hint="eastAsia" w:ascii="宋体" w:hAnsi="宋体" w:eastAsia="宋体" w:cs="宋体"/>
          <w:color w:val="auto"/>
          <w:szCs w:val="21"/>
          <w:highlight w:val="none"/>
        </w:rPr>
        <w:t>期间为被保险人终身。</w:t>
      </w:r>
    </w:p>
    <w:p>
      <w:pPr>
        <w:keepNext w:val="0"/>
        <w:keepLines w:val="0"/>
        <w:pageBreakBefore w:val="0"/>
        <w:kinsoku/>
        <w:wordWrap/>
        <w:overflowPunct/>
        <w:topLinePunct w:val="0"/>
        <w:bidi w:val="0"/>
        <w:adjustRightInd/>
        <w:snapToGrid/>
        <w:spacing w:before="156" w:beforeLines="50" w:after="156" w:afterLines="50" w:line="600" w:lineRule="exact"/>
        <w:ind w:firstLine="420"/>
        <w:textAlignment w:val="auto"/>
        <w:rPr>
          <w:rFonts w:hint="eastAsia" w:ascii="宋体" w:hAnsi="宋体" w:eastAsia="宋体" w:cs="宋体"/>
          <w:color w:val="auto"/>
          <w:szCs w:val="21"/>
        </w:rPr>
      </w:pPr>
      <w:r>
        <w:rPr>
          <w:rFonts w:hint="eastAsia" w:ascii="宋体" w:hAnsi="宋体" w:eastAsia="宋体" w:cs="宋体"/>
          <w:b w:val="0"/>
          <w:bCs w:val="0"/>
          <w:color w:val="auto"/>
          <w:szCs w:val="21"/>
        </w:rPr>
        <w:t>服务期限：</w:t>
      </w:r>
      <w:r>
        <w:rPr>
          <w:rFonts w:hint="eastAsia" w:ascii="宋体" w:hAnsi="宋体" w:eastAsia="宋体" w:cs="宋体"/>
          <w:color w:val="auto"/>
          <w:szCs w:val="21"/>
          <w:lang w:val="en-US" w:eastAsia="zh-CN"/>
        </w:rPr>
        <w:t>服务领取后1年内，</w:t>
      </w:r>
      <w:r>
        <w:rPr>
          <w:rFonts w:hint="eastAsia" w:ascii="宋体" w:hAnsi="宋体" w:eastAsia="宋体" w:cs="宋体"/>
          <w:color w:val="auto"/>
          <w:szCs w:val="21"/>
        </w:rPr>
        <w:t>被保险人拥有本</w:t>
      </w:r>
      <w:r>
        <w:rPr>
          <w:rFonts w:hint="eastAsia" w:ascii="宋体" w:hAnsi="宋体" w:eastAsia="宋体" w:cs="宋体"/>
          <w:color w:val="auto"/>
          <w:szCs w:val="21"/>
          <w:lang w:val="en-US" w:eastAsia="zh-CN"/>
        </w:rPr>
        <w:t>保险</w:t>
      </w:r>
      <w:r>
        <w:rPr>
          <w:rFonts w:hint="eastAsia" w:ascii="宋体" w:hAnsi="宋体" w:eastAsia="宋体" w:cs="宋体"/>
          <w:color w:val="auto"/>
          <w:szCs w:val="21"/>
        </w:rPr>
        <w:t>合同的服务权益，直至服务权益使用完毕，则视为服务终止。</w:t>
      </w:r>
    </w:p>
    <w:p>
      <w:pPr>
        <w:keepNext w:val="0"/>
        <w:keepLines w:val="0"/>
        <w:pageBreakBefore w:val="0"/>
        <w:kinsoku/>
        <w:wordWrap/>
        <w:overflowPunct/>
        <w:topLinePunct w:val="0"/>
        <w:bidi w:val="0"/>
        <w:adjustRightInd/>
        <w:snapToGrid/>
        <w:spacing w:before="156" w:beforeLines="50" w:after="156" w:afterLines="50" w:line="600" w:lineRule="exact"/>
        <w:ind w:firstLine="42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本</w:t>
      </w:r>
      <w:r>
        <w:rPr>
          <w:rFonts w:hint="eastAsia" w:ascii="宋体" w:hAnsi="宋体" w:eastAsia="宋体" w:cs="宋体"/>
          <w:color w:val="auto"/>
          <w:szCs w:val="21"/>
        </w:rPr>
        <w:t>公司保留对健康管理服务内容变更、停止或增加的权利。</w:t>
      </w:r>
    </w:p>
    <w:p>
      <w:pPr>
        <w:keepNext w:val="0"/>
        <w:keepLines w:val="0"/>
        <w:pageBreakBefore w:val="0"/>
        <w:kinsoku/>
        <w:wordWrap/>
        <w:overflowPunct/>
        <w:topLinePunct w:val="0"/>
        <w:bidi w:val="0"/>
        <w:adjustRightInd/>
        <w:snapToGrid/>
        <w:spacing w:line="600" w:lineRule="exact"/>
        <w:ind w:firstLine="420"/>
        <w:jc w:val="both"/>
        <w:textAlignment w:val="auto"/>
        <w:rPr>
          <w:rFonts w:hint="eastAsia" w:ascii="宋体" w:hAnsi="宋体" w:eastAsia="宋体" w:cs="宋体"/>
          <w:color w:val="auto"/>
          <w:szCs w:val="21"/>
        </w:rPr>
      </w:pPr>
      <w:r>
        <w:rPr>
          <w:rFonts w:hint="eastAsia" w:ascii="宋体" w:hAnsi="宋体" w:eastAsia="宋体" w:cs="宋体"/>
          <w:color w:val="auto"/>
          <w:szCs w:val="21"/>
        </w:rPr>
        <w:t>请您完整阅读本服务手册，尤其是其中加粗体字的部分。</w:t>
      </w:r>
    </w:p>
    <w:p>
      <w:pPr>
        <w:keepNext w:val="0"/>
        <w:keepLines w:val="0"/>
        <w:pageBreakBefore w:val="0"/>
        <w:kinsoku/>
        <w:wordWrap/>
        <w:overflowPunct/>
        <w:topLinePunct w:val="0"/>
        <w:bidi w:val="0"/>
        <w:adjustRightInd/>
        <w:snapToGrid/>
        <w:spacing w:line="600" w:lineRule="exact"/>
        <w:ind w:firstLine="420"/>
        <w:jc w:val="both"/>
        <w:textAlignment w:val="auto"/>
        <w:rPr>
          <w:rFonts w:hint="default" w:ascii="宋体" w:hAnsi="宋体" w:eastAsia="宋体" w:cs="宋体"/>
          <w:color w:val="auto"/>
          <w:szCs w:val="21"/>
          <w:lang w:val="en-US"/>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2"/>
          <w:lang w:val="en-US" w:eastAsia="zh-CN"/>
        </w:rPr>
        <w:t>太保附加长相护长期护理保险的被保险人成功承保后且保单生效日后第15日，可前往“太平洋寿险”微信公众号→点击菜单“会员福利”→“权益中心”→“长相护”，领取服务权益（需在保单生效后3年内领取），服务权益领取后根据页面提示可申请使用服务。</w:t>
      </w:r>
    </w:p>
    <w:p>
      <w:pPr>
        <w:keepNext w:val="0"/>
        <w:keepLines w:val="0"/>
        <w:pageBreakBefore w:val="0"/>
        <w:kinsoku/>
        <w:wordWrap/>
        <w:overflowPunct/>
        <w:topLinePunct w:val="0"/>
        <w:bidi w:val="0"/>
        <w:adjustRightInd/>
        <w:snapToGrid/>
        <w:spacing w:before="157" w:beforeLines="50" w:line="240" w:lineRule="auto"/>
        <w:jc w:val="center"/>
        <w:textAlignment w:val="auto"/>
        <w:rPr>
          <w:rFonts w:hint="eastAsia" w:asciiTheme="minorEastAsia" w:hAnsiTheme="minorEastAsia" w:eastAsiaTheme="minorEastAsia" w:cstheme="minorEastAsia"/>
          <w:b/>
          <w:bCs/>
          <w:sz w:val="21"/>
          <w:szCs w:val="21"/>
        </w:rPr>
      </w:pPr>
      <w:r>
        <w:rPr>
          <w:rFonts w:hint="eastAsia" w:ascii="宋体" w:hAnsi="宋体" w:eastAsia="宋体" w:cs="宋体"/>
          <w:b/>
          <w:bCs/>
          <w:sz w:val="21"/>
          <w:szCs w:val="21"/>
        </w:rPr>
        <w:t>第一章  服务概要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0070C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0070C0"/>
          <w:sz w:val="18"/>
          <w:szCs w:val="18"/>
        </w:rPr>
      </w:pPr>
    </w:p>
    <w:p>
      <w:pPr>
        <w:keepNext w:val="0"/>
        <w:keepLines w:val="0"/>
        <w:pageBreakBefore w:val="0"/>
        <w:numPr>
          <w:ilvl w:val="0"/>
          <w:numId w:val="0"/>
        </w:numPr>
        <w:kinsoku/>
        <w:wordWrap/>
        <w:overflowPunct/>
        <w:topLinePunct w:val="0"/>
        <w:autoSpaceDE w:val="0"/>
        <w:autoSpaceDN w:val="0"/>
        <w:bidi w:val="0"/>
        <w:adjustRightInd/>
        <w:snapToGrid/>
        <w:spacing w:line="600" w:lineRule="exact"/>
        <w:textAlignment w:val="auto"/>
        <w:rPr>
          <w:rFonts w:hint="eastAsia"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lang w:val="en-US" w:eastAsia="zh-CN"/>
          <w14:textFill>
            <w14:solidFill>
              <w14:schemeClr w14:val="tx1"/>
            </w14:solidFill>
          </w14:textFill>
        </w:rPr>
        <w:t>一、阿尔茨</w:t>
      </w:r>
      <w:r>
        <w:rPr>
          <w:rFonts w:hint="eastAsia" w:ascii="宋体" w:hAnsi="宋体" w:eastAsia="宋体" w:cs="宋体"/>
          <w:b/>
          <w:bCs/>
          <w:color w:val="000000" w:themeColor="text1"/>
          <w:spacing w:val="1"/>
          <w:szCs w:val="21"/>
          <w14:textFill>
            <w14:solidFill>
              <w14:schemeClr w14:val="tx1"/>
            </w14:solidFill>
          </w14:textFill>
        </w:rPr>
        <w:t>海默症基因检测服务</w:t>
      </w:r>
    </w:p>
    <w:p>
      <w:pPr>
        <w:keepNext w:val="0"/>
        <w:keepLines w:val="0"/>
        <w:pageBreakBefore w:val="0"/>
        <w:numPr>
          <w:ilvl w:val="0"/>
          <w:numId w:val="0"/>
        </w:numPr>
        <w:kinsoku/>
        <w:wordWrap/>
        <w:overflowPunct/>
        <w:topLinePunct w:val="0"/>
        <w:autoSpaceDE w:val="0"/>
        <w:autoSpaceDN w:val="0"/>
        <w:bidi w:val="0"/>
        <w:adjustRightInd/>
        <w:snapToGrid/>
        <w:spacing w:line="600" w:lineRule="exact"/>
        <w:textAlignment w:val="auto"/>
        <w:rPr>
          <w:rFonts w:hint="default" w:ascii="宋体" w:hAnsi="宋体" w:eastAsia="宋体" w:cs="宋体"/>
          <w:b/>
          <w:bCs/>
          <w:color w:val="000000" w:themeColor="text1"/>
          <w:spacing w:val="1"/>
          <w:szCs w:val="21"/>
          <w:lang w:val="en-US" w:eastAsia="zh-CN"/>
          <w14:textFill>
            <w14:solidFill>
              <w14:schemeClr w14:val="tx1"/>
            </w14:solidFill>
          </w14:textFill>
        </w:rPr>
      </w:pPr>
      <w:r>
        <w:rPr>
          <w:rFonts w:hint="eastAsia" w:ascii="宋体" w:hAnsi="宋体" w:eastAsia="宋体" w:cs="宋体"/>
          <w:b/>
          <w:bCs/>
          <w:color w:val="000000" w:themeColor="text1"/>
          <w:spacing w:val="1"/>
          <w:szCs w:val="21"/>
          <w:lang w:val="en-US" w:eastAsia="zh-CN"/>
          <w14:textFill>
            <w14:solidFill>
              <w14:schemeClr w14:val="tx1"/>
            </w14:solidFill>
          </w14:textFill>
        </w:rPr>
        <w:t>1、服务内容</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lang w:eastAsia="zh-CN"/>
          <w14:textFill>
            <w14:solidFill>
              <w14:schemeClr w14:val="tx1"/>
            </w14:solidFill>
          </w14:textFill>
        </w:rPr>
        <w:t>根据《中国阿尔茨海默病痴呆诊疗指南》，明确推荐APOE基因分型检测用于阿尔茨海默发生与转化风险的预测性检测。本服务通过APOE基因分型检测，帮助提示个体的发病风险，高风险人群可以通过综合预防、生活方式调整、认知训练和有氧运动等，延缓或降低发病率。</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14:textFill>
            <w14:solidFill>
              <w14:schemeClr w14:val="tx1"/>
            </w14:solidFill>
          </w14:textFill>
        </w:rPr>
        <w:t>2、服务流程</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1）采样盒领取流程</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（1）登陆太平洋寿险公众号，点击权益中心</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（2）在产品专属区，点击“长相护”板块</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default" w:ascii="宋体" w:hAnsi="宋体" w:eastAsia="宋体" w:cs="宋体"/>
          <w:color w:val="000000" w:themeColor="text1"/>
          <w:spacing w:val="1"/>
          <w:szCs w:val="21"/>
          <w:lang w:val="en-US" w:eastAsia="zh-CN"/>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（3）进入权益</w:t>
      </w:r>
      <w:r>
        <w:rPr>
          <w:rFonts w:hint="eastAsia" w:ascii="宋体" w:hAnsi="宋体" w:eastAsia="宋体" w:cs="宋体"/>
          <w:color w:val="000000" w:themeColor="text1"/>
          <w:spacing w:val="1"/>
          <w:szCs w:val="21"/>
          <w:lang w:val="en-US" w:eastAsia="zh-CN"/>
          <w14:textFill>
            <w14:solidFill>
              <w14:schemeClr w14:val="tx1"/>
            </w14:solidFill>
          </w14:textFill>
        </w:rPr>
        <w:t>列表</w:t>
      </w:r>
      <w:r>
        <w:rPr>
          <w:rFonts w:hint="eastAsia" w:ascii="宋体" w:hAnsi="宋体" w:eastAsia="宋体" w:cs="宋体"/>
          <w:color w:val="000000" w:themeColor="text1"/>
          <w:spacing w:val="1"/>
          <w:szCs w:val="21"/>
          <w14:textFill>
            <w14:solidFill>
              <w14:schemeClr w14:val="tx1"/>
            </w14:solidFill>
          </w14:textFill>
        </w:rPr>
        <w:t>页面，点击“立即使用”，</w:t>
      </w:r>
      <w:r>
        <w:rPr>
          <w:rFonts w:hint="eastAsia" w:ascii="宋体" w:hAnsi="宋体" w:eastAsia="宋体" w:cs="宋体"/>
          <w:color w:val="000000" w:themeColor="text1"/>
          <w:spacing w:val="1"/>
          <w:szCs w:val="21"/>
          <w:lang w:val="en-US" w:eastAsia="zh-CN"/>
          <w14:textFill>
            <w14:solidFill>
              <w14:schemeClr w14:val="tx1"/>
            </w14:solidFill>
          </w14:textFill>
        </w:rPr>
        <w:t>填写收货人地址并提交</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eastAsia="zh-CN"/>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（4）</w:t>
      </w:r>
      <w:r>
        <w:rPr>
          <w:rFonts w:hint="eastAsia" w:ascii="宋体" w:hAnsi="宋体" w:eastAsia="宋体" w:cs="宋体"/>
          <w:color w:val="000000" w:themeColor="text1"/>
          <w:spacing w:val="1"/>
          <w:szCs w:val="21"/>
          <w:lang w:val="en-US" w:eastAsia="zh-CN"/>
          <w14:textFill>
            <w14:solidFill>
              <w14:schemeClr w14:val="tx1"/>
            </w14:solidFill>
          </w14:textFill>
        </w:rPr>
        <w:t>成功提交后，</w:t>
      </w:r>
      <w:r>
        <w:rPr>
          <w:rFonts w:hint="eastAsia" w:ascii="宋体" w:hAnsi="宋体" w:eastAsia="宋体" w:cs="宋体"/>
          <w:color w:val="000000" w:themeColor="text1"/>
          <w:spacing w:val="1"/>
          <w:szCs w:val="21"/>
          <w14:textFill>
            <w14:solidFill>
              <w14:schemeClr w14:val="tx1"/>
            </w14:solidFill>
          </w14:textFill>
        </w:rPr>
        <w:t>在权益列表页，点击“</w:t>
      </w:r>
      <w:r>
        <w:rPr>
          <w:rFonts w:hint="eastAsia" w:ascii="宋体" w:hAnsi="宋体" w:eastAsia="宋体" w:cs="宋体"/>
          <w:color w:val="000000" w:themeColor="text1"/>
          <w:spacing w:val="1"/>
          <w:szCs w:val="21"/>
          <w:lang w:val="en-US" w:eastAsia="zh-CN"/>
          <w14:textFill>
            <w14:solidFill>
              <w14:schemeClr w14:val="tx1"/>
            </w14:solidFill>
          </w14:textFill>
        </w:rPr>
        <w:t>阿尔茨</w:t>
      </w:r>
      <w:r>
        <w:rPr>
          <w:rFonts w:hint="eastAsia" w:ascii="宋体" w:hAnsi="宋体" w:eastAsia="宋体" w:cs="宋体"/>
          <w:color w:val="000000" w:themeColor="text1"/>
          <w:spacing w:val="1"/>
          <w:szCs w:val="21"/>
          <w14:textFill>
            <w14:solidFill>
              <w14:schemeClr w14:val="tx1"/>
            </w14:solidFill>
          </w14:textFill>
        </w:rPr>
        <w:t>海默症基因检测服务-</w:t>
      </w:r>
      <w:r>
        <w:rPr>
          <w:rFonts w:hint="eastAsia" w:ascii="宋体" w:hAnsi="宋体" w:eastAsia="宋体" w:cs="宋体"/>
          <w:color w:val="000000" w:themeColor="text1"/>
          <w:spacing w:val="1"/>
          <w:szCs w:val="21"/>
          <w:lang w:val="en-US" w:eastAsia="zh-CN"/>
          <w14:textFill>
            <w14:solidFill>
              <w14:schemeClr w14:val="tx1"/>
            </w14:solidFill>
          </w14:textFill>
        </w:rPr>
        <w:t>去使用</w:t>
      </w:r>
      <w:r>
        <w:rPr>
          <w:rFonts w:hint="eastAsia" w:ascii="宋体" w:hAnsi="宋体" w:eastAsia="宋体" w:cs="宋体"/>
          <w:color w:val="000000" w:themeColor="text1"/>
          <w:spacing w:val="1"/>
          <w:szCs w:val="21"/>
          <w14:textFill>
            <w14:solidFill>
              <w14:schemeClr w14:val="tx1"/>
            </w14:solidFill>
          </w14:textFill>
        </w:rPr>
        <w:t>”，</w:t>
      </w:r>
      <w:r>
        <w:rPr>
          <w:rFonts w:hint="eastAsia" w:ascii="宋体" w:hAnsi="宋体" w:eastAsia="宋体" w:cs="宋体"/>
          <w:color w:val="000000" w:themeColor="text1"/>
          <w:spacing w:val="1"/>
          <w:szCs w:val="21"/>
          <w:lang w:val="en-US" w:eastAsia="zh-CN"/>
          <w14:textFill>
            <w14:solidFill>
              <w14:schemeClr w14:val="tx1"/>
            </w14:solidFill>
          </w14:textFill>
        </w:rPr>
        <w:t>查看物流信息</w:t>
      </w:r>
      <w:r>
        <w:rPr>
          <w:rFonts w:hint="eastAsia" w:ascii="宋体" w:hAnsi="宋体" w:eastAsia="宋体" w:cs="宋体"/>
          <w:color w:val="000000" w:themeColor="text1"/>
          <w:spacing w:val="1"/>
          <w:szCs w:val="21"/>
          <w:lang w:eastAsia="zh-CN"/>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r>
        <w:rPr>
          <w:rFonts w:hint="eastAsia" w:ascii="宋体" w:hAnsi="宋体" w:eastAsia="宋体" w:cs="宋体"/>
          <w:color w:val="000000" w:themeColor="text1"/>
          <w:spacing w:val="1"/>
          <w:szCs w:val="21"/>
          <w:lang w:val="en-US" w:eastAsia="zh-CN"/>
          <w14:textFill>
            <w14:solidFill>
              <w14:schemeClr w14:val="tx1"/>
            </w14:solidFill>
          </w14:textFill>
        </w:rPr>
        <w:t>2）自行采样</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r>
        <w:rPr>
          <w:rFonts w:hint="eastAsia" w:ascii="宋体" w:hAnsi="宋体" w:eastAsia="宋体" w:cs="宋体"/>
          <w:color w:val="000000" w:themeColor="text1"/>
          <w:spacing w:val="1"/>
          <w:szCs w:val="21"/>
          <w:lang w:val="en-US" w:eastAsia="zh-CN"/>
          <w14:textFill>
            <w14:solidFill>
              <w14:schemeClr w14:val="tx1"/>
            </w14:solidFill>
          </w14:textFill>
        </w:rPr>
        <w:t>客户按照采样盒上的流程指引自行完成采样</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r>
        <w:rPr>
          <w:rFonts w:hint="eastAsia" w:ascii="宋体" w:hAnsi="宋体" w:eastAsia="宋体" w:cs="宋体"/>
          <w:color w:val="000000" w:themeColor="text1"/>
          <w:spacing w:val="1"/>
          <w:szCs w:val="21"/>
          <w:lang w:val="en-US" w:eastAsia="zh-CN"/>
          <w14:textFill>
            <w14:solidFill>
              <w14:schemeClr w14:val="tx1"/>
            </w14:solidFill>
          </w14:textFill>
        </w:rPr>
        <w:t>3）回寄采样盒</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r>
        <w:rPr>
          <w:rFonts w:hint="eastAsia" w:ascii="宋体" w:hAnsi="宋体" w:eastAsia="宋体" w:cs="宋体"/>
          <w:color w:val="000000" w:themeColor="text1"/>
          <w:spacing w:val="1"/>
          <w:szCs w:val="21"/>
          <w:lang w:val="en-US" w:eastAsia="zh-CN"/>
          <w14:textFill>
            <w14:solidFill>
              <w14:schemeClr w14:val="tx1"/>
            </w14:solidFill>
          </w14:textFill>
        </w:rPr>
        <w:t>采样完成后，客户自行将样本寄回到实验室</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r>
        <w:rPr>
          <w:rFonts w:hint="eastAsia" w:ascii="宋体" w:hAnsi="宋体" w:eastAsia="宋体" w:cs="宋体"/>
          <w:color w:val="000000" w:themeColor="text1"/>
          <w:spacing w:val="1"/>
          <w:szCs w:val="21"/>
          <w:lang w:val="en-US" w:eastAsia="zh-CN"/>
          <w14:textFill>
            <w14:solidFill>
              <w14:schemeClr w14:val="tx1"/>
            </w14:solidFill>
          </w14:textFill>
        </w:rPr>
        <w:t>建议将样本采集管放入原包装盒内寄回</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r>
        <w:rPr>
          <w:rFonts w:hint="eastAsia" w:ascii="宋体" w:hAnsi="宋体" w:eastAsia="宋体" w:cs="宋体"/>
          <w:color w:val="000000" w:themeColor="text1"/>
          <w:spacing w:val="1"/>
          <w:szCs w:val="21"/>
          <w:lang w:val="en-US" w:eastAsia="zh-CN"/>
          <w14:textFill>
            <w14:solidFill>
              <w14:schemeClr w14:val="tx1"/>
            </w14:solidFill>
          </w14:textFill>
        </w:rPr>
        <w:t>建议</w:t>
      </w:r>
      <w:r>
        <w:rPr>
          <w:rFonts w:hint="eastAsia" w:ascii="宋体" w:hAnsi="宋体" w:eastAsia="宋体" w:cs="宋体"/>
          <w:b/>
          <w:bCs/>
          <w:color w:val="auto"/>
          <w:spacing w:val="1"/>
          <w:szCs w:val="21"/>
          <w:lang w:val="en-US" w:eastAsia="zh-CN"/>
        </w:rPr>
        <w:t>一周内</w:t>
      </w:r>
      <w:r>
        <w:rPr>
          <w:rFonts w:hint="eastAsia" w:ascii="宋体" w:hAnsi="宋体" w:eastAsia="宋体" w:cs="宋体"/>
          <w:color w:val="000000" w:themeColor="text1"/>
          <w:spacing w:val="1"/>
          <w:szCs w:val="21"/>
          <w:lang w:val="en-US" w:eastAsia="zh-CN"/>
          <w14:textFill>
            <w14:solidFill>
              <w14:schemeClr w14:val="tx1"/>
            </w14:solidFill>
          </w14:textFill>
        </w:rPr>
        <w:t>寄回为佳，如不能按时寄回，请</w:t>
      </w:r>
      <w:r>
        <w:rPr>
          <w:rFonts w:hint="eastAsia" w:ascii="宋体" w:hAnsi="宋体" w:eastAsia="宋体" w:cs="宋体"/>
          <w:b/>
          <w:bCs/>
          <w:color w:val="auto"/>
          <w:spacing w:val="1"/>
          <w:szCs w:val="21"/>
          <w:lang w:val="en-US" w:eastAsia="zh-CN"/>
        </w:rPr>
        <w:t>低温保存（可冰箱冷藏保存一个月）</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r>
        <w:rPr>
          <w:rFonts w:hint="eastAsia" w:ascii="宋体" w:hAnsi="宋体" w:eastAsia="宋体" w:cs="宋体"/>
          <w:color w:val="000000" w:themeColor="text1"/>
          <w:spacing w:val="1"/>
          <w:szCs w:val="21"/>
          <w:lang w:val="en-US" w:eastAsia="zh-CN"/>
          <w14:textFill>
            <w14:solidFill>
              <w14:schemeClr w14:val="tx1"/>
            </w14:solidFill>
          </w14:textFill>
        </w:rPr>
        <w:t>4）查看报告</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r>
        <w:rPr>
          <w:rFonts w:hint="eastAsia" w:ascii="宋体" w:hAnsi="宋体" w:eastAsia="宋体" w:cs="宋体"/>
          <w:color w:val="000000" w:themeColor="text1"/>
          <w:spacing w:val="1"/>
          <w:szCs w:val="21"/>
          <w:lang w:val="en-US" w:eastAsia="zh-CN"/>
          <w14:textFill>
            <w14:solidFill>
              <w14:schemeClr w14:val="tx1"/>
            </w14:solidFill>
          </w14:textFill>
        </w:rPr>
        <w:t>实验室收到样本后，实验室15个工作日内出具电子报告，客户可通过“权益介绍列表-阿尔兹海默基因检测服务”查看报告</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14:textFill>
            <w14:solidFill>
              <w14:schemeClr w14:val="tx1"/>
            </w14:solidFill>
          </w14:textFill>
        </w:rPr>
        <w:t>3、服务说明</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1）客户请务必根据采样盒上说明内容，确保样本编码绑定成功；</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lang w:val="en-US" w:eastAsia="zh-CN"/>
          <w14:textFill>
            <w14:solidFill>
              <w14:schemeClr w14:val="tx1"/>
            </w14:solidFill>
          </w14:textFill>
        </w:rPr>
        <w:t>2</w:t>
      </w:r>
      <w:r>
        <w:rPr>
          <w:rFonts w:hint="eastAsia" w:ascii="宋体" w:hAnsi="宋体" w:eastAsia="宋体" w:cs="宋体"/>
          <w:color w:val="000000" w:themeColor="text1"/>
          <w:spacing w:val="1"/>
          <w:szCs w:val="21"/>
          <w14:textFill>
            <w14:solidFill>
              <w14:schemeClr w14:val="tx1"/>
            </w14:solidFill>
          </w14:textFill>
        </w:rPr>
        <w:t>）回寄样本前请务必确认保存管管盖已拧紧；</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lang w:val="en-US" w:eastAsia="zh-CN"/>
          <w14:textFill>
            <w14:solidFill>
              <w14:schemeClr w14:val="tx1"/>
            </w14:solidFill>
          </w14:textFill>
        </w:rPr>
        <w:t>3</w:t>
      </w:r>
      <w:r>
        <w:rPr>
          <w:rFonts w:hint="eastAsia" w:ascii="宋体" w:hAnsi="宋体" w:eastAsia="宋体" w:cs="宋体"/>
          <w:color w:val="000000" w:themeColor="text1"/>
          <w:spacing w:val="1"/>
          <w:szCs w:val="21"/>
          <w14:textFill>
            <w14:solidFill>
              <w14:schemeClr w14:val="tx1"/>
            </w14:solidFill>
          </w14:textFill>
        </w:rPr>
        <w:t>）为防止暴力快递，回寄时建议将完成采集的样本保存管放入原包装一起寄回；</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lang w:val="en-US" w:eastAsia="zh-CN"/>
          <w14:textFill>
            <w14:solidFill>
              <w14:schemeClr w14:val="tx1"/>
            </w14:solidFill>
          </w14:textFill>
        </w:rPr>
        <w:t>4</w:t>
      </w:r>
      <w:r>
        <w:rPr>
          <w:rFonts w:hint="eastAsia" w:ascii="宋体" w:hAnsi="宋体" w:eastAsia="宋体" w:cs="宋体"/>
          <w:color w:val="000000" w:themeColor="text1"/>
          <w:spacing w:val="1"/>
          <w:szCs w:val="21"/>
          <w14:textFill>
            <w14:solidFill>
              <w14:schemeClr w14:val="tx1"/>
            </w14:solidFill>
          </w14:textFill>
        </w:rPr>
        <w:t>）采样后如不能及时快递请放置冰箱冷藏保存（冷藏可保存1个月）；</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lang w:val="en-US" w:eastAsia="zh-CN"/>
          <w14:textFill>
            <w14:solidFill>
              <w14:schemeClr w14:val="tx1"/>
            </w14:solidFill>
          </w14:textFill>
        </w:rPr>
        <w:t>5</w:t>
      </w:r>
      <w:r>
        <w:rPr>
          <w:rFonts w:hint="eastAsia" w:ascii="宋体" w:hAnsi="宋体" w:eastAsia="宋体" w:cs="宋体"/>
          <w:color w:val="000000" w:themeColor="text1"/>
          <w:spacing w:val="1"/>
          <w:szCs w:val="21"/>
          <w14:textFill>
            <w14:solidFill>
              <w14:schemeClr w14:val="tx1"/>
            </w14:solidFill>
          </w14:textFill>
        </w:rPr>
        <w:t>）请确保填写的信息、地址、检测项目等内容正确，信息一旦录入成功</w:t>
      </w:r>
      <w:r>
        <w:rPr>
          <w:rFonts w:hint="eastAsia" w:ascii="宋体" w:hAnsi="宋体" w:eastAsia="宋体" w:cs="宋体"/>
          <w:b/>
          <w:bCs/>
          <w:color w:val="000000" w:themeColor="text1"/>
          <w:spacing w:val="1"/>
          <w:szCs w:val="21"/>
          <w14:textFill>
            <w14:solidFill>
              <w14:schemeClr w14:val="tx1"/>
            </w14:solidFill>
          </w14:textFill>
        </w:rPr>
        <w:t>不可修改</w:t>
      </w:r>
      <w:r>
        <w:rPr>
          <w:rFonts w:hint="eastAsia" w:ascii="宋体" w:hAnsi="宋体" w:eastAsia="宋体" w:cs="宋体"/>
          <w:color w:val="000000" w:themeColor="text1"/>
          <w:spacing w:val="1"/>
          <w:szCs w:val="21"/>
          <w14:textFill>
            <w14:solidFill>
              <w14:schemeClr w14:val="tx1"/>
            </w14:solidFill>
          </w14:textFill>
        </w:rPr>
        <w:t>；</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lang w:val="en-US" w:eastAsia="zh-CN"/>
          <w14:textFill>
            <w14:solidFill>
              <w14:schemeClr w14:val="tx1"/>
            </w14:solidFill>
          </w14:textFill>
        </w:rPr>
        <w:t>二、</w:t>
      </w:r>
      <w:r>
        <w:rPr>
          <w:rFonts w:hint="eastAsia" w:ascii="宋体" w:hAnsi="宋体" w:eastAsia="宋体" w:cs="宋体"/>
          <w:b/>
          <w:bCs/>
          <w:color w:val="000000" w:themeColor="text1"/>
          <w:spacing w:val="1"/>
          <w:szCs w:val="21"/>
          <w14:textFill>
            <w14:solidFill>
              <w14:schemeClr w14:val="tx1"/>
            </w14:solidFill>
          </w14:textFill>
        </w:rPr>
        <w:t>认知障碍风险评估</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14:textFill>
            <w14:solidFill>
              <w14:schemeClr w14:val="tx1"/>
            </w14:solidFill>
          </w14:textFill>
        </w:rPr>
        <w:t>1、服务内容</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AI智能量表多维度评估，简单、快速、准确的评估认知状态。帮助尽早发现因衰老、疾病等原因引起的认知障碍风险，从而采取针对性预防和治疗策略。</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14:textFill>
            <w14:solidFill>
              <w14:schemeClr w14:val="tx1"/>
            </w14:solidFill>
          </w14:textFill>
        </w:rPr>
        <w:t>2、服务流程</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（1）登陆太平洋寿险公众号，点击权益中心</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（2）在产品专属区，点击“长相护”板块</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default" w:ascii="宋体" w:hAnsi="宋体" w:eastAsia="宋体" w:cs="宋体"/>
          <w:color w:val="000000" w:themeColor="text1"/>
          <w:spacing w:val="1"/>
          <w:szCs w:val="21"/>
          <w:lang w:val="en-US" w:eastAsia="zh-CN"/>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（3）进入权益</w:t>
      </w:r>
      <w:r>
        <w:rPr>
          <w:rFonts w:hint="eastAsia" w:ascii="宋体" w:hAnsi="宋体" w:eastAsia="宋体" w:cs="宋体"/>
          <w:color w:val="000000" w:themeColor="text1"/>
          <w:spacing w:val="1"/>
          <w:szCs w:val="21"/>
          <w:lang w:val="en-US" w:eastAsia="zh-CN"/>
          <w14:textFill>
            <w14:solidFill>
              <w14:schemeClr w14:val="tx1"/>
            </w14:solidFill>
          </w14:textFill>
        </w:rPr>
        <w:t>列表</w:t>
      </w:r>
      <w:r>
        <w:rPr>
          <w:rFonts w:hint="eastAsia" w:ascii="宋体" w:hAnsi="宋体" w:eastAsia="宋体" w:cs="宋体"/>
          <w:color w:val="000000" w:themeColor="text1"/>
          <w:spacing w:val="1"/>
          <w:szCs w:val="21"/>
          <w14:textFill>
            <w14:solidFill>
              <w14:schemeClr w14:val="tx1"/>
            </w14:solidFill>
          </w14:textFill>
        </w:rPr>
        <w:t>页面，点击“认知功能风险评估-去使用”，</w:t>
      </w:r>
      <w:r>
        <w:rPr>
          <w:rFonts w:hint="eastAsia" w:ascii="宋体" w:hAnsi="宋体" w:eastAsia="宋体" w:cs="宋体"/>
          <w:color w:val="000000" w:themeColor="text1"/>
          <w:spacing w:val="1"/>
          <w:szCs w:val="21"/>
          <w:lang w:val="en-US" w:eastAsia="zh-CN"/>
          <w14:textFill>
            <w14:solidFill>
              <w14:schemeClr w14:val="tx1"/>
            </w14:solidFill>
          </w14:textFill>
        </w:rPr>
        <w:t>进入评估页面</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w:t>
      </w:r>
      <w:r>
        <w:rPr>
          <w:rFonts w:hint="eastAsia" w:ascii="宋体" w:hAnsi="宋体" w:eastAsia="宋体" w:cs="宋体"/>
          <w:color w:val="000000" w:themeColor="text1"/>
          <w:spacing w:val="1"/>
          <w:szCs w:val="21"/>
          <w:lang w:val="en-US" w:eastAsia="zh-CN"/>
          <w14:textFill>
            <w14:solidFill>
              <w14:schemeClr w14:val="tx1"/>
            </w14:solidFill>
          </w14:textFill>
        </w:rPr>
        <w:t>4</w:t>
      </w:r>
      <w:r>
        <w:rPr>
          <w:rFonts w:hint="eastAsia" w:ascii="宋体" w:hAnsi="宋体" w:eastAsia="宋体" w:cs="宋体"/>
          <w:color w:val="000000" w:themeColor="text1"/>
          <w:spacing w:val="1"/>
          <w:szCs w:val="21"/>
          <w14:textFill>
            <w14:solidFill>
              <w14:schemeClr w14:val="tx1"/>
            </w14:solidFill>
          </w14:textFill>
        </w:rPr>
        <w:t>）</w:t>
      </w:r>
      <w:r>
        <w:rPr>
          <w:rFonts w:hint="eastAsia" w:ascii="宋体" w:hAnsi="宋体" w:eastAsia="宋体" w:cs="宋体"/>
          <w:color w:val="000000" w:themeColor="text1"/>
          <w:spacing w:val="1"/>
          <w:szCs w:val="21"/>
          <w:lang w:val="en-US" w:eastAsia="zh-CN"/>
          <w14:textFill>
            <w14:solidFill>
              <w14:schemeClr w14:val="tx1"/>
            </w14:solidFill>
          </w14:textFill>
        </w:rPr>
        <w:t>点击“开始评估”，根据提示操作，进入认知症状评估流程</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lang w:val="en-US" w:eastAsia="zh-CN"/>
          <w14:textFill>
            <w14:solidFill>
              <w14:schemeClr w14:val="tx1"/>
            </w14:solidFill>
          </w14:textFill>
        </w:rPr>
        <w:t>三、</w:t>
      </w:r>
      <w:r>
        <w:rPr>
          <w:rFonts w:hint="eastAsia" w:ascii="宋体" w:hAnsi="宋体" w:eastAsia="宋体" w:cs="宋体"/>
          <w:b/>
          <w:bCs/>
          <w:color w:val="000000" w:themeColor="text1"/>
          <w:spacing w:val="1"/>
          <w:szCs w:val="21"/>
          <w:lang w:eastAsia="zh-CN"/>
          <w14:textFill>
            <w14:solidFill>
              <w14:schemeClr w14:val="tx1"/>
            </w14:solidFill>
          </w14:textFill>
        </w:rPr>
        <w:t>认知管理服务</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14:textFill>
            <w14:solidFill>
              <w14:schemeClr w14:val="tx1"/>
            </w14:solidFill>
          </w14:textFill>
        </w:rPr>
        <w:t>1、服务内容</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专为</w:t>
      </w:r>
      <w:r>
        <w:rPr>
          <w:rFonts w:hint="eastAsia" w:ascii="宋体" w:hAnsi="宋体" w:eastAsia="宋体" w:cs="宋体"/>
          <w:color w:val="000000" w:themeColor="text1"/>
          <w:spacing w:val="1"/>
          <w:szCs w:val="21"/>
          <w:lang w:val="en-US" w:eastAsia="zh-CN"/>
          <w14:textFill>
            <w14:solidFill>
              <w14:schemeClr w14:val="tx1"/>
            </w14:solidFill>
          </w14:textFill>
        </w:rPr>
        <w:t>阿尔茨</w:t>
      </w:r>
      <w:r>
        <w:rPr>
          <w:rFonts w:hint="eastAsia" w:ascii="宋体" w:hAnsi="宋体" w:eastAsia="宋体" w:cs="宋体"/>
          <w:color w:val="000000" w:themeColor="text1"/>
          <w:spacing w:val="1"/>
          <w:szCs w:val="21"/>
          <w14:textFill>
            <w14:solidFill>
              <w14:schemeClr w14:val="tx1"/>
            </w14:solidFill>
          </w14:textFill>
        </w:rPr>
        <w:t>海默症基因检测结果为E4/E4或E3/E4高风险人群提供的认知管理服务，提供复旦大学附属华山医院的专家门诊预约协助服务和专项体检预约服务，为检测后的客户提供针对性的诊疗和深度筛查，本服务需自费购买，太保保险客户享专属折扣价。</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14:textFill>
            <w14:solidFill>
              <w14:schemeClr w14:val="tx1"/>
            </w14:solidFill>
          </w14:textFill>
        </w:rPr>
        <w:t>2、服务流程</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（1）登陆太平洋寿险公众号，点击权益中心</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（2）在产品专属区，点击“长相护”板块</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（3）进入权益</w:t>
      </w:r>
      <w:r>
        <w:rPr>
          <w:rFonts w:hint="eastAsia" w:ascii="宋体" w:hAnsi="宋体" w:eastAsia="宋体" w:cs="宋体"/>
          <w:color w:val="000000" w:themeColor="text1"/>
          <w:spacing w:val="1"/>
          <w:szCs w:val="21"/>
          <w:lang w:val="en-US" w:eastAsia="zh-CN"/>
          <w14:textFill>
            <w14:solidFill>
              <w14:schemeClr w14:val="tx1"/>
            </w14:solidFill>
          </w14:textFill>
        </w:rPr>
        <w:t>列表</w:t>
      </w:r>
      <w:r>
        <w:rPr>
          <w:rFonts w:hint="eastAsia" w:ascii="宋体" w:hAnsi="宋体" w:eastAsia="宋体" w:cs="宋体"/>
          <w:color w:val="000000" w:themeColor="text1"/>
          <w:spacing w:val="1"/>
          <w:szCs w:val="21"/>
          <w14:textFill>
            <w14:solidFill>
              <w14:schemeClr w14:val="tx1"/>
            </w14:solidFill>
          </w14:textFill>
        </w:rPr>
        <w:t>页面，点击“认知管理服务-去使用”</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（4）</w:t>
      </w:r>
      <w:r>
        <w:rPr>
          <w:rFonts w:hint="eastAsia" w:ascii="宋体" w:hAnsi="宋体" w:eastAsia="宋体" w:cs="宋体"/>
          <w:color w:val="000000" w:themeColor="text1"/>
          <w:spacing w:val="1"/>
          <w:szCs w:val="21"/>
          <w:lang w:val="en-US" w:eastAsia="zh-CN"/>
          <w14:textFill>
            <w14:solidFill>
              <w14:schemeClr w14:val="tx1"/>
            </w14:solidFill>
          </w14:textFill>
        </w:rPr>
        <w:t>基因</w:t>
      </w:r>
      <w:r>
        <w:rPr>
          <w:rFonts w:hint="eastAsia" w:ascii="宋体" w:hAnsi="宋体" w:eastAsia="宋体" w:cs="宋体"/>
          <w:color w:val="000000" w:themeColor="text1"/>
          <w:spacing w:val="1"/>
          <w:szCs w:val="21"/>
          <w14:textFill>
            <w14:solidFill>
              <w14:schemeClr w14:val="tx1"/>
            </w14:solidFill>
          </w14:textFill>
        </w:rPr>
        <w:t>检测结果为高风险人</w:t>
      </w:r>
      <w:r>
        <w:rPr>
          <w:rFonts w:hint="eastAsia" w:ascii="宋体" w:hAnsi="宋体" w:eastAsia="宋体" w:cs="宋体"/>
          <w:color w:val="000000" w:themeColor="text1"/>
          <w:spacing w:val="1"/>
          <w:szCs w:val="21"/>
          <w:lang w:val="en-US" w:eastAsia="zh-CN"/>
          <w14:textFill>
            <w14:solidFill>
              <w14:schemeClr w14:val="tx1"/>
            </w14:solidFill>
          </w14:textFill>
        </w:rPr>
        <w:t>群，可点击购买</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（5）专属管理人员将在24小时内致电联系，与您确认就诊信息及需求</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b/>
          <w:bCs/>
          <w:color w:val="000000" w:themeColor="text1"/>
          <w:spacing w:val="1"/>
          <w:szCs w:val="21"/>
          <w:lang w:eastAsia="zh-CN"/>
          <w14:textFill>
            <w14:solidFill>
              <w14:schemeClr w14:val="tx1"/>
            </w14:solidFill>
          </w14:textFill>
        </w:rPr>
      </w:pPr>
      <w:r>
        <w:rPr>
          <w:rFonts w:hint="eastAsia" w:ascii="宋体" w:hAnsi="宋体" w:eastAsia="宋体" w:cs="宋体"/>
          <w:b/>
          <w:bCs/>
          <w:color w:val="000000" w:themeColor="text1"/>
          <w:spacing w:val="1"/>
          <w:szCs w:val="21"/>
          <w14:textFill>
            <w14:solidFill>
              <w14:schemeClr w14:val="tx1"/>
            </w14:solidFill>
          </w14:textFill>
        </w:rPr>
        <w:t>3、服务</w:t>
      </w:r>
      <w:r>
        <w:rPr>
          <w:rFonts w:hint="eastAsia" w:ascii="宋体" w:hAnsi="宋体" w:eastAsia="宋体" w:cs="宋体"/>
          <w:b/>
          <w:bCs/>
          <w:color w:val="000000" w:themeColor="text1"/>
          <w:spacing w:val="1"/>
          <w:szCs w:val="21"/>
          <w:lang w:val="en-US" w:eastAsia="zh-CN"/>
          <w14:textFill>
            <w14:solidFill>
              <w14:schemeClr w14:val="tx1"/>
            </w14:solidFill>
          </w14:textFill>
        </w:rPr>
        <w:t>须知</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本服务</w:t>
      </w:r>
      <w:r>
        <w:rPr>
          <w:rFonts w:hint="eastAsia" w:ascii="宋体" w:hAnsi="宋体" w:eastAsia="宋体" w:cs="宋体"/>
          <w:b/>
          <w:bCs/>
          <w:color w:val="000000" w:themeColor="text1"/>
          <w:spacing w:val="1"/>
          <w:szCs w:val="21"/>
          <w14:textFill>
            <w14:solidFill>
              <w14:schemeClr w14:val="tx1"/>
            </w14:solidFill>
          </w14:textFill>
        </w:rPr>
        <w:t>仅限检测为E4/E4或E3/E4高风险客户使用</w:t>
      </w:r>
      <w:r>
        <w:rPr>
          <w:rFonts w:hint="eastAsia" w:ascii="宋体" w:hAnsi="宋体" w:eastAsia="宋体" w:cs="宋体"/>
          <w:color w:val="000000" w:themeColor="text1"/>
          <w:spacing w:val="1"/>
          <w:szCs w:val="21"/>
          <w14:textFill>
            <w14:solidFill>
              <w14:schemeClr w14:val="tx1"/>
            </w14:solidFill>
          </w14:textFill>
        </w:rPr>
        <w:t>，服务包含1次华山医院神经内科挂号协助服务、1次华山医院认知专项体检预约服务</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lang w:val="en-US" w:eastAsia="zh-CN"/>
          <w14:textFill>
            <w14:solidFill>
              <w14:schemeClr w14:val="tx1"/>
            </w14:solidFill>
          </w14:textFill>
        </w:rPr>
        <w:t>四、</w:t>
      </w:r>
      <w:r>
        <w:rPr>
          <w:rFonts w:hint="eastAsia" w:ascii="宋体" w:hAnsi="宋体" w:eastAsia="宋体" w:cs="宋体"/>
          <w:b/>
          <w:bCs/>
          <w:color w:val="000000" w:themeColor="text1"/>
          <w:spacing w:val="1"/>
          <w:szCs w:val="21"/>
          <w:lang w:eastAsia="zh-CN"/>
          <w14:textFill>
            <w14:solidFill>
              <w14:schemeClr w14:val="tx1"/>
            </w14:solidFill>
          </w14:textFill>
        </w:rPr>
        <w:t>家庭医生服务</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14:textFill>
            <w14:solidFill>
              <w14:schemeClr w14:val="tx1"/>
            </w14:solidFill>
          </w14:textFill>
        </w:rPr>
        <w:t>1、服务内容</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由专属健康管家、家庭医生组成家庭医生团队针对用户自身情况，为用户提供有价值的、有针对性的咨询服务。健康咨询支持图文、语音等多种形式。家庭医生及各专科医生提供一站式用药咨询、建议、指导、开药，送药到家服务（购药与运费自理）。</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14:textFill>
            <w14:solidFill>
              <w14:schemeClr w14:val="tx1"/>
            </w14:solidFill>
          </w14:textFill>
        </w:rPr>
        <w:t>2、服务流程</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（1）登陆太平洋寿险公众号，点击权益中心</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（2）在产品专属区，点击“长相护”板块</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（3）进入权益</w:t>
      </w:r>
      <w:r>
        <w:rPr>
          <w:rFonts w:hint="eastAsia" w:ascii="宋体" w:hAnsi="宋体" w:eastAsia="宋体" w:cs="宋体"/>
          <w:color w:val="000000" w:themeColor="text1"/>
          <w:spacing w:val="1"/>
          <w:szCs w:val="21"/>
          <w:lang w:val="en-US" w:eastAsia="zh-CN"/>
          <w14:textFill>
            <w14:solidFill>
              <w14:schemeClr w14:val="tx1"/>
            </w14:solidFill>
          </w14:textFill>
        </w:rPr>
        <w:t>列表</w:t>
      </w:r>
      <w:r>
        <w:rPr>
          <w:rFonts w:hint="eastAsia" w:ascii="宋体" w:hAnsi="宋体" w:eastAsia="宋体" w:cs="宋体"/>
          <w:color w:val="000000" w:themeColor="text1"/>
          <w:spacing w:val="1"/>
          <w:szCs w:val="21"/>
          <w14:textFill>
            <w14:solidFill>
              <w14:schemeClr w14:val="tx1"/>
            </w14:solidFill>
          </w14:textFill>
        </w:rPr>
        <w:t>页面，点击“</w:t>
      </w:r>
      <w:r>
        <w:rPr>
          <w:rFonts w:hint="eastAsia" w:ascii="宋体" w:hAnsi="宋体" w:eastAsia="宋体" w:cs="宋体"/>
          <w:color w:val="000000" w:themeColor="text1"/>
          <w:spacing w:val="1"/>
          <w:szCs w:val="21"/>
          <w:lang w:val="en-US" w:eastAsia="zh-CN"/>
          <w14:textFill>
            <w14:solidFill>
              <w14:schemeClr w14:val="tx1"/>
            </w14:solidFill>
          </w14:textFill>
        </w:rPr>
        <w:t>家庭医生服务-去</w:t>
      </w:r>
      <w:r>
        <w:rPr>
          <w:rFonts w:hint="eastAsia" w:ascii="宋体" w:hAnsi="宋体" w:eastAsia="宋体" w:cs="宋体"/>
          <w:color w:val="000000" w:themeColor="text1"/>
          <w:spacing w:val="1"/>
          <w:szCs w:val="21"/>
          <w14:textFill>
            <w14:solidFill>
              <w14:schemeClr w14:val="tx1"/>
            </w14:solidFill>
          </w14:textFill>
        </w:rPr>
        <w:t>使用”</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w:t>
      </w:r>
      <w:r>
        <w:rPr>
          <w:rFonts w:hint="eastAsia" w:ascii="宋体" w:hAnsi="宋体" w:eastAsia="宋体" w:cs="宋体"/>
          <w:color w:val="000000" w:themeColor="text1"/>
          <w:spacing w:val="1"/>
          <w:szCs w:val="21"/>
          <w:lang w:val="en-US" w:eastAsia="zh-CN"/>
          <w14:textFill>
            <w14:solidFill>
              <w14:schemeClr w14:val="tx1"/>
            </w14:solidFill>
          </w14:textFill>
        </w:rPr>
        <w:t>4</w:t>
      </w:r>
      <w:r>
        <w:rPr>
          <w:rFonts w:hint="eastAsia" w:ascii="宋体" w:hAnsi="宋体" w:eastAsia="宋体" w:cs="宋体"/>
          <w:color w:val="000000" w:themeColor="text1"/>
          <w:spacing w:val="1"/>
          <w:szCs w:val="21"/>
          <w14:textFill>
            <w14:solidFill>
              <w14:schemeClr w14:val="tx1"/>
            </w14:solidFill>
          </w14:textFill>
        </w:rPr>
        <w:t>）根据提示</w:t>
      </w:r>
      <w:r>
        <w:rPr>
          <w:rFonts w:hint="eastAsia" w:ascii="宋体" w:hAnsi="宋体" w:eastAsia="宋体" w:cs="宋体"/>
          <w:color w:val="000000" w:themeColor="text1"/>
          <w:spacing w:val="1"/>
          <w:szCs w:val="21"/>
          <w:lang w:val="en-US" w:eastAsia="zh-CN"/>
          <w14:textFill>
            <w14:solidFill>
              <w14:schemeClr w14:val="tx1"/>
            </w14:solidFill>
          </w14:textFill>
        </w:rPr>
        <w:t>操作，</w:t>
      </w:r>
      <w:r>
        <w:rPr>
          <w:rFonts w:hint="eastAsia" w:ascii="宋体" w:hAnsi="宋体" w:eastAsia="宋体" w:cs="宋体"/>
          <w:color w:val="000000" w:themeColor="text1"/>
          <w:spacing w:val="1"/>
          <w:szCs w:val="21"/>
          <w14:textFill>
            <w14:solidFill>
              <w14:schemeClr w14:val="tx1"/>
            </w14:solidFill>
          </w14:textFill>
        </w:rPr>
        <w:t>绑定医生</w:t>
      </w:r>
      <w:r>
        <w:rPr>
          <w:rFonts w:hint="eastAsia" w:ascii="宋体" w:hAnsi="宋体" w:eastAsia="宋体" w:cs="宋体"/>
          <w:color w:val="000000" w:themeColor="text1"/>
          <w:spacing w:val="1"/>
          <w:szCs w:val="21"/>
          <w:lang w:val="en-US" w:eastAsia="zh-CN"/>
          <w14:textFill>
            <w14:solidFill>
              <w14:schemeClr w14:val="tx1"/>
            </w14:solidFill>
          </w14:textFill>
        </w:rPr>
        <w:t>企业微信</w:t>
      </w:r>
      <w:r>
        <w:rPr>
          <w:rFonts w:hint="eastAsia" w:ascii="宋体" w:hAnsi="宋体" w:eastAsia="宋体" w:cs="宋体"/>
          <w:color w:val="000000" w:themeColor="text1"/>
          <w:spacing w:val="1"/>
          <w:szCs w:val="21"/>
          <w14:textFill>
            <w14:solidFill>
              <w14:schemeClr w14:val="tx1"/>
            </w14:solidFill>
          </w14:textFill>
        </w:rPr>
        <w:t>，进行线上问诊</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w:t>
      </w:r>
      <w:r>
        <w:rPr>
          <w:rFonts w:hint="eastAsia" w:ascii="宋体" w:hAnsi="宋体" w:eastAsia="宋体" w:cs="宋体"/>
          <w:color w:val="000000" w:themeColor="text1"/>
          <w:spacing w:val="1"/>
          <w:szCs w:val="21"/>
          <w:lang w:val="en-US" w:eastAsia="zh-CN"/>
          <w14:textFill>
            <w14:solidFill>
              <w14:schemeClr w14:val="tx1"/>
            </w14:solidFill>
          </w14:textFill>
        </w:rPr>
        <w:t>5</w:t>
      </w:r>
      <w:r>
        <w:rPr>
          <w:rFonts w:hint="eastAsia" w:ascii="宋体" w:hAnsi="宋体" w:eastAsia="宋体" w:cs="宋体"/>
          <w:color w:val="000000" w:themeColor="text1"/>
          <w:spacing w:val="1"/>
          <w:szCs w:val="21"/>
          <w14:textFill>
            <w14:solidFill>
              <w14:schemeClr w14:val="tx1"/>
            </w14:solidFill>
          </w14:textFill>
        </w:rPr>
        <w:t>）基因检测完成后可上传您的电子报告，请医生解读</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lang w:val="en-US" w:eastAsia="zh-CN"/>
          <w14:textFill>
            <w14:solidFill>
              <w14:schemeClr w14:val="tx1"/>
            </w14:solidFill>
          </w14:textFill>
        </w:rPr>
        <w:t>五、数字健康档案服务</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14:textFill>
            <w14:solidFill>
              <w14:schemeClr w14:val="tx1"/>
            </w14:solidFill>
          </w14:textFill>
        </w:rPr>
        <w:t>1、服务内容</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为用户建立动态电子档案，家庭医生团队会根据用户情况动态更新，用户可以通过手机、电脑等终端随时查看。</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b/>
          <w:bCs/>
          <w:color w:val="000000" w:themeColor="text1"/>
          <w:spacing w:val="1"/>
          <w:szCs w:val="21"/>
          <w14:textFill>
            <w14:solidFill>
              <w14:schemeClr w14:val="tx1"/>
            </w14:solidFill>
          </w14:textFill>
        </w:rPr>
      </w:pPr>
      <w:r>
        <w:rPr>
          <w:rFonts w:hint="eastAsia" w:ascii="宋体" w:hAnsi="宋体" w:eastAsia="宋体" w:cs="宋体"/>
          <w:b/>
          <w:bCs/>
          <w:color w:val="000000" w:themeColor="text1"/>
          <w:spacing w:val="1"/>
          <w:szCs w:val="21"/>
          <w14:textFill>
            <w14:solidFill>
              <w14:schemeClr w14:val="tx1"/>
            </w14:solidFill>
          </w14:textFill>
        </w:rPr>
        <w:t>2、服务流程</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（1）登陆太平洋寿险公众号，点击权益中心</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（2）在产品专属区，点击“长相护”板块</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（3）进入权益</w:t>
      </w:r>
      <w:r>
        <w:rPr>
          <w:rFonts w:hint="eastAsia" w:ascii="宋体" w:hAnsi="宋体" w:eastAsia="宋体" w:cs="宋体"/>
          <w:color w:val="000000" w:themeColor="text1"/>
          <w:spacing w:val="1"/>
          <w:szCs w:val="21"/>
          <w:lang w:val="en-US" w:eastAsia="zh-CN"/>
          <w14:textFill>
            <w14:solidFill>
              <w14:schemeClr w14:val="tx1"/>
            </w14:solidFill>
          </w14:textFill>
        </w:rPr>
        <w:t>列表</w:t>
      </w:r>
      <w:r>
        <w:rPr>
          <w:rFonts w:hint="eastAsia" w:ascii="宋体" w:hAnsi="宋体" w:eastAsia="宋体" w:cs="宋体"/>
          <w:color w:val="000000" w:themeColor="text1"/>
          <w:spacing w:val="1"/>
          <w:szCs w:val="21"/>
          <w14:textFill>
            <w14:solidFill>
              <w14:schemeClr w14:val="tx1"/>
            </w14:solidFill>
          </w14:textFill>
        </w:rPr>
        <w:t>页面，点击“</w:t>
      </w:r>
      <w:r>
        <w:rPr>
          <w:rFonts w:hint="eastAsia" w:ascii="宋体" w:hAnsi="宋体" w:eastAsia="宋体" w:cs="宋体"/>
          <w:color w:val="000000" w:themeColor="text1"/>
          <w:spacing w:val="1"/>
          <w:szCs w:val="21"/>
          <w:lang w:val="en-US" w:eastAsia="zh-CN"/>
          <w14:textFill>
            <w14:solidFill>
              <w14:schemeClr w14:val="tx1"/>
            </w14:solidFill>
          </w14:textFill>
        </w:rPr>
        <w:t>数字健康档案-去</w:t>
      </w:r>
      <w:r>
        <w:rPr>
          <w:rFonts w:hint="eastAsia" w:ascii="宋体" w:hAnsi="宋体" w:eastAsia="宋体" w:cs="宋体"/>
          <w:color w:val="000000" w:themeColor="text1"/>
          <w:spacing w:val="1"/>
          <w:szCs w:val="21"/>
          <w14:textFill>
            <w14:solidFill>
              <w14:schemeClr w14:val="tx1"/>
            </w14:solidFill>
          </w14:textFill>
        </w:rPr>
        <w:t>使用”</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default" w:ascii="宋体" w:hAnsi="宋体" w:eastAsia="宋体" w:cs="宋体"/>
          <w:color w:val="000000" w:themeColor="text1"/>
          <w:spacing w:val="1"/>
          <w:szCs w:val="21"/>
          <w:lang w:val="en-US"/>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（4）</w:t>
      </w:r>
      <w:r>
        <w:rPr>
          <w:rFonts w:hint="eastAsia" w:ascii="宋体" w:hAnsi="宋体" w:eastAsia="宋体" w:cs="宋体"/>
          <w:color w:val="000000" w:themeColor="text1"/>
          <w:spacing w:val="1"/>
          <w:szCs w:val="21"/>
          <w:lang w:val="en-US" w:eastAsia="zh-CN"/>
          <w14:textFill>
            <w14:solidFill>
              <w14:schemeClr w14:val="tx1"/>
            </w14:solidFill>
          </w14:textFill>
        </w:rPr>
        <w:t>在数字健康档案页面，点击“同意授权”，可自行填写健康信息</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（5）根据提示绑定医生微信，医生了解健康状况，建立档案并持续更新</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p>
    <w:p>
      <w:pPr>
        <w:pStyle w:val="21"/>
        <w:spacing w:before="11" w:line="600" w:lineRule="exact"/>
        <w:ind w:right="646" w:firstLine="0" w:firstLineChars="0"/>
        <w:jc w:val="center"/>
        <w:rPr>
          <w:rFonts w:ascii="宋体" w:hAnsi="宋体" w:eastAsia="宋体" w:cs="宋体"/>
          <w:sz w:val="21"/>
          <w:szCs w:val="21"/>
        </w:rPr>
      </w:pPr>
      <w:r>
        <w:rPr>
          <w:rFonts w:hint="eastAsia" w:ascii="宋体" w:hAnsi="宋体" w:eastAsia="宋体" w:cs="宋体"/>
          <w:b/>
          <w:bCs/>
          <w:szCs w:val="21"/>
        </w:rPr>
        <w:t>第二章  注意事项</w:t>
      </w:r>
    </w:p>
    <w:p>
      <w:pPr>
        <w:pStyle w:val="4"/>
        <w:tabs>
          <w:tab w:val="left" w:pos="720"/>
          <w:tab w:val="left" w:pos="1440"/>
          <w:tab w:val="left" w:pos="3360"/>
          <w:tab w:val="left" w:pos="8520"/>
        </w:tabs>
        <w:spacing w:line="600" w:lineRule="exact"/>
        <w:rPr>
          <w:rFonts w:ascii="宋体" w:hAnsi="宋体" w:eastAsia="宋体" w:cs="宋体"/>
          <w:spacing w:val="5"/>
          <w:sz w:val="21"/>
          <w:szCs w:val="21"/>
        </w:rPr>
      </w:pPr>
      <w:r>
        <w:rPr>
          <w:rFonts w:hint="eastAsia" w:ascii="宋体" w:hAnsi="宋体" w:eastAsia="宋体" w:cs="宋体"/>
          <w:spacing w:val="5"/>
          <w:sz w:val="21"/>
          <w:szCs w:val="21"/>
        </w:rPr>
        <w:t>1、健康管理服务仅限被保险人本人使用，不可转让给他人。若本公司查明使用本服务的非被保险人本人，本公司有权立即拒绝提供本服务并保留追偿的权利；</w:t>
      </w:r>
    </w:p>
    <w:p>
      <w:pPr>
        <w:pStyle w:val="4"/>
        <w:tabs>
          <w:tab w:val="left" w:pos="720"/>
          <w:tab w:val="left" w:pos="1440"/>
          <w:tab w:val="left" w:pos="3360"/>
          <w:tab w:val="left" w:pos="8520"/>
        </w:tabs>
        <w:spacing w:line="600" w:lineRule="exact"/>
        <w:rPr>
          <w:rFonts w:ascii="宋体" w:hAnsi="宋体" w:eastAsia="宋体" w:cs="宋体"/>
          <w:spacing w:val="5"/>
          <w:sz w:val="21"/>
          <w:szCs w:val="21"/>
        </w:rPr>
      </w:pPr>
      <w:r>
        <w:rPr>
          <w:rFonts w:hint="eastAsia" w:ascii="宋体" w:hAnsi="宋体" w:eastAsia="宋体" w:cs="宋体"/>
          <w:spacing w:val="5"/>
          <w:sz w:val="21"/>
          <w:szCs w:val="21"/>
        </w:rPr>
        <w:t>2、如被保险人为无民事行为能力人或限制民事行为能力人，本服务申请可由其监护人代其申请；</w:t>
      </w:r>
    </w:p>
    <w:p>
      <w:pPr>
        <w:pStyle w:val="4"/>
        <w:tabs>
          <w:tab w:val="left" w:pos="720"/>
          <w:tab w:val="left" w:pos="1440"/>
          <w:tab w:val="left" w:pos="3360"/>
          <w:tab w:val="left" w:pos="8520"/>
        </w:tabs>
        <w:spacing w:line="600" w:lineRule="exact"/>
        <w:rPr>
          <w:rFonts w:hint="eastAsia" w:ascii="宋体" w:hAnsi="宋体" w:eastAsia="宋体" w:cs="宋体"/>
          <w:spacing w:val="5"/>
          <w:sz w:val="21"/>
          <w:szCs w:val="21"/>
        </w:rPr>
      </w:pPr>
      <w:r>
        <w:rPr>
          <w:rFonts w:hint="eastAsia" w:ascii="宋体" w:hAnsi="宋体" w:eastAsia="宋体" w:cs="宋体"/>
          <w:spacing w:val="5"/>
          <w:sz w:val="21"/>
          <w:szCs w:val="21"/>
        </w:rPr>
        <w:t>3、保险合同的就医服务由本公司委托的第三方</w:t>
      </w:r>
      <w:r>
        <w:rPr>
          <w:rFonts w:hint="eastAsia" w:ascii="宋体" w:hAnsi="宋体" w:eastAsia="宋体" w:cs="宋体"/>
          <w:spacing w:val="5"/>
          <w:sz w:val="21"/>
          <w:szCs w:val="21"/>
          <w:lang w:val="en-US" w:eastAsia="zh-CN"/>
        </w:rPr>
        <w:t>服务商</w:t>
      </w:r>
      <w:r>
        <w:rPr>
          <w:rFonts w:hint="eastAsia" w:ascii="宋体" w:hAnsi="宋体" w:eastAsia="宋体" w:cs="宋体"/>
          <w:spacing w:val="5"/>
          <w:sz w:val="21"/>
          <w:szCs w:val="21"/>
        </w:rPr>
        <w:t>为您提供，若您与第三方</w:t>
      </w:r>
      <w:r>
        <w:rPr>
          <w:rFonts w:hint="eastAsia" w:ascii="宋体" w:hAnsi="宋体" w:eastAsia="宋体" w:cs="宋体"/>
          <w:spacing w:val="5"/>
          <w:sz w:val="21"/>
          <w:szCs w:val="21"/>
          <w:lang w:val="en-US" w:eastAsia="zh-CN"/>
        </w:rPr>
        <w:t>服务商</w:t>
      </w:r>
      <w:r>
        <w:rPr>
          <w:rFonts w:hint="eastAsia" w:ascii="宋体" w:hAnsi="宋体" w:eastAsia="宋体" w:cs="宋体"/>
          <w:spacing w:val="5"/>
          <w:sz w:val="21"/>
          <w:szCs w:val="21"/>
        </w:rPr>
        <w:t>因服务而产生任何纠纷，本公司会尽力协调您与第三方服务商依据相关法律法规解决纠纷，但不承担任何法律责任；</w:t>
      </w:r>
    </w:p>
    <w:p>
      <w:pPr>
        <w:pStyle w:val="4"/>
        <w:tabs>
          <w:tab w:val="left" w:pos="720"/>
          <w:tab w:val="left" w:pos="1440"/>
          <w:tab w:val="left" w:pos="3360"/>
          <w:tab w:val="left" w:pos="8520"/>
        </w:tabs>
        <w:spacing w:line="600" w:lineRule="exact"/>
        <w:rPr>
          <w:rFonts w:ascii="宋体" w:hAnsi="宋体" w:eastAsia="宋体" w:cs="宋体"/>
          <w:spacing w:val="5"/>
          <w:sz w:val="21"/>
          <w:szCs w:val="21"/>
        </w:rPr>
      </w:pPr>
      <w:r>
        <w:rPr>
          <w:rFonts w:hint="eastAsia" w:ascii="宋体" w:hAnsi="宋体" w:eastAsia="宋体" w:cs="宋体"/>
          <w:spacing w:val="5"/>
          <w:sz w:val="21"/>
          <w:szCs w:val="21"/>
        </w:rPr>
        <w:t>4、本公司保留调整第三方服务商的权利；</w:t>
      </w:r>
    </w:p>
    <w:p>
      <w:pPr>
        <w:pStyle w:val="4"/>
        <w:tabs>
          <w:tab w:val="left" w:pos="720"/>
          <w:tab w:val="left" w:pos="1440"/>
          <w:tab w:val="left" w:pos="3360"/>
          <w:tab w:val="left" w:pos="8520"/>
        </w:tabs>
        <w:spacing w:line="600" w:lineRule="exact"/>
        <w:rPr>
          <w:rFonts w:ascii="宋体" w:hAnsi="宋体" w:eastAsia="宋体" w:cs="宋体"/>
          <w:spacing w:val="5"/>
          <w:sz w:val="21"/>
          <w:szCs w:val="21"/>
        </w:rPr>
      </w:pPr>
      <w:r>
        <w:rPr>
          <w:rFonts w:hint="eastAsia" w:ascii="宋体" w:hAnsi="宋体" w:eastAsia="宋体" w:cs="宋体"/>
          <w:spacing w:val="5"/>
          <w:sz w:val="21"/>
          <w:szCs w:val="21"/>
        </w:rPr>
        <w:t>5、本公司尊重并保护您的隐私权，未经您许可本公司不会将任何与您相关的信息泄露给无关的第三方。为了更好的为您提供服务，本公司及授权供应商可能会就您申请的服务向您询问姓名、性别、电话号码、地址、社保情况等信息，您有权决定是否提供相关信息，但本公司不承担由信息不全导致的损失。</w:t>
      </w:r>
    </w:p>
    <w:p>
      <w:pPr>
        <w:pStyle w:val="4"/>
        <w:tabs>
          <w:tab w:val="left" w:pos="720"/>
          <w:tab w:val="left" w:pos="1440"/>
          <w:tab w:val="left" w:pos="3360"/>
          <w:tab w:val="left" w:pos="8520"/>
        </w:tabs>
        <w:spacing w:line="600" w:lineRule="exact"/>
        <w:rPr>
          <w:rFonts w:ascii="宋体" w:hAnsi="宋体" w:eastAsia="宋体" w:cs="宋体"/>
          <w:spacing w:val="5"/>
          <w:sz w:val="21"/>
          <w:szCs w:val="21"/>
        </w:rPr>
      </w:pPr>
      <w:r>
        <w:rPr>
          <w:rFonts w:hint="eastAsia" w:ascii="宋体" w:hAnsi="宋体" w:eastAsia="宋体" w:cs="宋体"/>
          <w:spacing w:val="5"/>
          <w:sz w:val="21"/>
          <w:szCs w:val="21"/>
        </w:rPr>
        <w:t>6、在以下情况下，您任何信息的披露，本公司不负任何责任：</w:t>
      </w:r>
    </w:p>
    <w:p>
      <w:pPr>
        <w:pStyle w:val="4"/>
        <w:tabs>
          <w:tab w:val="left" w:pos="720"/>
          <w:tab w:val="left" w:pos="1440"/>
          <w:tab w:val="left" w:pos="3360"/>
          <w:tab w:val="left" w:pos="8520"/>
        </w:tabs>
        <w:spacing w:line="600" w:lineRule="exact"/>
        <w:rPr>
          <w:rFonts w:ascii="宋体" w:hAnsi="宋体" w:eastAsia="宋体" w:cs="宋体"/>
          <w:spacing w:val="5"/>
          <w:sz w:val="21"/>
          <w:szCs w:val="21"/>
        </w:rPr>
      </w:pPr>
      <w:r>
        <w:rPr>
          <w:rFonts w:hint="eastAsia" w:ascii="宋体" w:hAnsi="宋体" w:eastAsia="宋体" w:cs="宋体"/>
          <w:spacing w:val="5"/>
          <w:sz w:val="21"/>
          <w:szCs w:val="21"/>
        </w:rPr>
        <w:t>（1）当政府机关依照法定程序要求本公司披露您个人资料时，本公司将根据其要求或为公共安全之目的提供您的个人资料；</w:t>
      </w:r>
    </w:p>
    <w:p>
      <w:pPr>
        <w:pStyle w:val="4"/>
        <w:tabs>
          <w:tab w:val="left" w:pos="720"/>
          <w:tab w:val="left" w:pos="1440"/>
          <w:tab w:val="left" w:pos="3360"/>
          <w:tab w:val="left" w:pos="8520"/>
        </w:tabs>
        <w:spacing w:line="600" w:lineRule="exact"/>
        <w:rPr>
          <w:rFonts w:ascii="宋体" w:hAnsi="宋体" w:eastAsia="宋体" w:cs="宋体"/>
          <w:spacing w:val="5"/>
          <w:sz w:val="21"/>
          <w:szCs w:val="21"/>
        </w:rPr>
      </w:pPr>
      <w:r>
        <w:rPr>
          <w:rFonts w:hint="eastAsia" w:ascii="宋体" w:hAnsi="宋体" w:eastAsia="宋体" w:cs="宋体"/>
          <w:spacing w:val="5"/>
          <w:sz w:val="21"/>
          <w:szCs w:val="21"/>
        </w:rPr>
        <w:t>（2）由于您将个人信息告知他人，由此导致的任何个人资料泄露；</w:t>
      </w:r>
    </w:p>
    <w:p>
      <w:pPr>
        <w:pStyle w:val="4"/>
        <w:tabs>
          <w:tab w:val="left" w:pos="720"/>
          <w:tab w:val="left" w:pos="1440"/>
          <w:tab w:val="left" w:pos="3360"/>
          <w:tab w:val="left" w:pos="8520"/>
        </w:tabs>
        <w:spacing w:line="600" w:lineRule="exact"/>
        <w:rPr>
          <w:rFonts w:ascii="宋体" w:hAnsi="宋体" w:eastAsia="宋体" w:cs="宋体"/>
          <w:spacing w:val="5"/>
          <w:sz w:val="21"/>
          <w:szCs w:val="21"/>
        </w:rPr>
      </w:pPr>
      <w:r>
        <w:rPr>
          <w:rFonts w:hint="eastAsia" w:ascii="宋体" w:hAnsi="宋体" w:eastAsia="宋体" w:cs="宋体"/>
          <w:spacing w:val="5"/>
          <w:sz w:val="21"/>
          <w:szCs w:val="21"/>
        </w:rPr>
        <w:t>（3）任何由于计算机问题、黑客攻击、计算机病毒侵入或发作、因政府管制而造成的暂时性关闭等影响网络正常经营之不可抗力而造成的您个人资料泄露、丢失、被盗用或被篡改等。</w:t>
      </w:r>
    </w:p>
    <w:p>
      <w:pPr>
        <w:pStyle w:val="4"/>
        <w:tabs>
          <w:tab w:val="left" w:pos="720"/>
          <w:tab w:val="left" w:pos="1440"/>
          <w:tab w:val="left" w:pos="3360"/>
          <w:tab w:val="left" w:pos="8520"/>
        </w:tabs>
        <w:spacing w:line="600" w:lineRule="exact"/>
        <w:rPr>
          <w:rFonts w:ascii="宋体" w:hAnsi="宋体" w:eastAsia="宋体" w:cs="宋体"/>
          <w:spacing w:val="5"/>
          <w:sz w:val="21"/>
          <w:szCs w:val="21"/>
        </w:rPr>
      </w:pPr>
      <w:r>
        <w:rPr>
          <w:rFonts w:hint="eastAsia" w:ascii="宋体" w:hAnsi="宋体" w:eastAsia="宋体" w:cs="宋体"/>
          <w:spacing w:val="5"/>
          <w:sz w:val="21"/>
          <w:szCs w:val="21"/>
        </w:rPr>
        <w:t>7、由于您提供不真实、不准确、不完整、不及时或不能反映当前情况的资料，而导致本服务发生缺失偏差或延误，相应责任将由您自行承担；</w:t>
      </w:r>
    </w:p>
    <w:p>
      <w:pPr>
        <w:keepNext w:val="0"/>
        <w:keepLines w:val="0"/>
        <w:pageBreakBefore w:val="0"/>
        <w:kinsoku/>
        <w:wordWrap/>
        <w:overflowPunct/>
        <w:topLinePunct w:val="0"/>
        <w:autoSpaceDE w:val="0"/>
        <w:autoSpaceDN w:val="0"/>
        <w:bidi w:val="0"/>
        <w:adjustRightInd/>
        <w:snapToGrid/>
        <w:spacing w:line="600" w:lineRule="exact"/>
        <w:textAlignment w:val="auto"/>
        <w:rPr>
          <w:rFonts w:hint="eastAsia" w:ascii="宋体" w:hAnsi="宋体" w:eastAsia="宋体" w:cs="宋体"/>
          <w:color w:val="000000" w:themeColor="text1"/>
          <w:spacing w:val="1"/>
          <w:szCs w:val="21"/>
          <w:lang w:val="en-US" w:eastAsia="zh-CN"/>
          <w14:textFill>
            <w14:solidFill>
              <w14:schemeClr w14:val="tx1"/>
            </w14:solidFill>
          </w14:textFill>
        </w:rPr>
      </w:pPr>
      <w:r>
        <w:rPr>
          <w:rFonts w:hint="eastAsia" w:ascii="宋体" w:hAnsi="宋体" w:eastAsia="宋体" w:cs="宋体"/>
          <w:spacing w:val="5"/>
          <w:sz w:val="21"/>
          <w:szCs w:val="21"/>
        </w:rPr>
        <w:t>8、对于本公司合理控制范围以外的各种原因，包括但不限于自然灾害、罢工或骚乱、物质短缺或定量配给、暴动、战争行为、政府行为、通讯或其他设施故障或严重伤亡事故等，致使延迟或未能履行本服务的，本公司不负任何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742EF"/>
    <w:multiLevelType w:val="singleLevel"/>
    <w:tmpl w:val="5C8742EF"/>
    <w:lvl w:ilvl="0" w:tentative="0">
      <w:start w:val="1"/>
      <w:numFmt w:val="bullet"/>
      <w:lvlText w:val=""/>
      <w:lvlJc w:val="left"/>
      <w:pPr>
        <w:tabs>
          <w:tab w:val="left" w:pos="420"/>
        </w:tabs>
        <w:ind w:left="8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B67"/>
    <w:rsid w:val="0005066A"/>
    <w:rsid w:val="000555B8"/>
    <w:rsid w:val="000B559E"/>
    <w:rsid w:val="00197A9A"/>
    <w:rsid w:val="001A43C2"/>
    <w:rsid w:val="001D25DE"/>
    <w:rsid w:val="00251B79"/>
    <w:rsid w:val="002E1798"/>
    <w:rsid w:val="002F4BC8"/>
    <w:rsid w:val="0031269C"/>
    <w:rsid w:val="00313B2B"/>
    <w:rsid w:val="003229C6"/>
    <w:rsid w:val="00393258"/>
    <w:rsid w:val="003E438C"/>
    <w:rsid w:val="00406B78"/>
    <w:rsid w:val="00422BDD"/>
    <w:rsid w:val="00435099"/>
    <w:rsid w:val="004543B5"/>
    <w:rsid w:val="00454BE0"/>
    <w:rsid w:val="00480F9C"/>
    <w:rsid w:val="00514B10"/>
    <w:rsid w:val="005477D5"/>
    <w:rsid w:val="00547EC4"/>
    <w:rsid w:val="00610858"/>
    <w:rsid w:val="006539DF"/>
    <w:rsid w:val="00663110"/>
    <w:rsid w:val="00675B66"/>
    <w:rsid w:val="006A45AA"/>
    <w:rsid w:val="006A7487"/>
    <w:rsid w:val="006A7E9F"/>
    <w:rsid w:val="006E26A1"/>
    <w:rsid w:val="00701303"/>
    <w:rsid w:val="00704B02"/>
    <w:rsid w:val="007C662B"/>
    <w:rsid w:val="00805A96"/>
    <w:rsid w:val="0085164E"/>
    <w:rsid w:val="008B49F1"/>
    <w:rsid w:val="00906E59"/>
    <w:rsid w:val="00971A1D"/>
    <w:rsid w:val="009D7AF7"/>
    <w:rsid w:val="00A64B41"/>
    <w:rsid w:val="00A70251"/>
    <w:rsid w:val="00A72C8D"/>
    <w:rsid w:val="00AA0661"/>
    <w:rsid w:val="00AF3EA7"/>
    <w:rsid w:val="00B54A16"/>
    <w:rsid w:val="00B62712"/>
    <w:rsid w:val="00B72D4D"/>
    <w:rsid w:val="00B76BE2"/>
    <w:rsid w:val="00BC1CDA"/>
    <w:rsid w:val="00C12794"/>
    <w:rsid w:val="00C73BEF"/>
    <w:rsid w:val="00CD3B18"/>
    <w:rsid w:val="00D04E1C"/>
    <w:rsid w:val="00D12C82"/>
    <w:rsid w:val="00D33AB7"/>
    <w:rsid w:val="00D4381F"/>
    <w:rsid w:val="00D5406D"/>
    <w:rsid w:val="00D54D20"/>
    <w:rsid w:val="00E13D40"/>
    <w:rsid w:val="00E86E8D"/>
    <w:rsid w:val="00E87252"/>
    <w:rsid w:val="00EC0C61"/>
    <w:rsid w:val="00ED7F12"/>
    <w:rsid w:val="00EE7C7B"/>
    <w:rsid w:val="00F70316"/>
    <w:rsid w:val="00F80E05"/>
    <w:rsid w:val="00F93CEA"/>
    <w:rsid w:val="00FA4B49"/>
    <w:rsid w:val="0115359F"/>
    <w:rsid w:val="01190616"/>
    <w:rsid w:val="01524BEA"/>
    <w:rsid w:val="01AD7D85"/>
    <w:rsid w:val="029C77E3"/>
    <w:rsid w:val="02BA515F"/>
    <w:rsid w:val="0340208A"/>
    <w:rsid w:val="047D1EDD"/>
    <w:rsid w:val="04DF19DF"/>
    <w:rsid w:val="05FE0D18"/>
    <w:rsid w:val="06062112"/>
    <w:rsid w:val="06883903"/>
    <w:rsid w:val="06BA2D71"/>
    <w:rsid w:val="06E37859"/>
    <w:rsid w:val="079C05F9"/>
    <w:rsid w:val="07BA1A34"/>
    <w:rsid w:val="08F24BA8"/>
    <w:rsid w:val="09D32F62"/>
    <w:rsid w:val="09E32F7A"/>
    <w:rsid w:val="0C184778"/>
    <w:rsid w:val="0CE8368D"/>
    <w:rsid w:val="0D1D009F"/>
    <w:rsid w:val="0DF42E19"/>
    <w:rsid w:val="0F367C39"/>
    <w:rsid w:val="0F926B48"/>
    <w:rsid w:val="0FC71C72"/>
    <w:rsid w:val="10302208"/>
    <w:rsid w:val="104A3B89"/>
    <w:rsid w:val="108473BA"/>
    <w:rsid w:val="10AC3EEA"/>
    <w:rsid w:val="114918FC"/>
    <w:rsid w:val="118D2694"/>
    <w:rsid w:val="119846AC"/>
    <w:rsid w:val="12D76F39"/>
    <w:rsid w:val="12DF0EFD"/>
    <w:rsid w:val="131C7634"/>
    <w:rsid w:val="13BB2970"/>
    <w:rsid w:val="13DC6CCA"/>
    <w:rsid w:val="14AC2B62"/>
    <w:rsid w:val="152A01CB"/>
    <w:rsid w:val="15EE4427"/>
    <w:rsid w:val="15F27C87"/>
    <w:rsid w:val="15FC3781"/>
    <w:rsid w:val="160929DA"/>
    <w:rsid w:val="16C368D9"/>
    <w:rsid w:val="16DE2F30"/>
    <w:rsid w:val="175A2276"/>
    <w:rsid w:val="175B6F05"/>
    <w:rsid w:val="179D4F58"/>
    <w:rsid w:val="17DD17F4"/>
    <w:rsid w:val="18162BC4"/>
    <w:rsid w:val="189A4FBD"/>
    <w:rsid w:val="18AE41B0"/>
    <w:rsid w:val="18DB0ADA"/>
    <w:rsid w:val="19041A2D"/>
    <w:rsid w:val="1C380812"/>
    <w:rsid w:val="1DC11C52"/>
    <w:rsid w:val="1E8834B6"/>
    <w:rsid w:val="1EEC16C3"/>
    <w:rsid w:val="1FF32C26"/>
    <w:rsid w:val="201A6A33"/>
    <w:rsid w:val="207129D8"/>
    <w:rsid w:val="211F0A6C"/>
    <w:rsid w:val="22863E2E"/>
    <w:rsid w:val="232621E7"/>
    <w:rsid w:val="235E0045"/>
    <w:rsid w:val="25D57848"/>
    <w:rsid w:val="274C312B"/>
    <w:rsid w:val="28313E2D"/>
    <w:rsid w:val="28502088"/>
    <w:rsid w:val="28E74E3E"/>
    <w:rsid w:val="295E631F"/>
    <w:rsid w:val="29C10255"/>
    <w:rsid w:val="2ADD161F"/>
    <w:rsid w:val="2AF16CD3"/>
    <w:rsid w:val="2C0452E0"/>
    <w:rsid w:val="2C6C038C"/>
    <w:rsid w:val="2DEE6B08"/>
    <w:rsid w:val="2E0B1C74"/>
    <w:rsid w:val="2E2C6DF9"/>
    <w:rsid w:val="2E7D1E5A"/>
    <w:rsid w:val="2EBF79F6"/>
    <w:rsid w:val="2F3D5FEA"/>
    <w:rsid w:val="2F555740"/>
    <w:rsid w:val="2F751E89"/>
    <w:rsid w:val="2F8E1F0C"/>
    <w:rsid w:val="2FEE7679"/>
    <w:rsid w:val="2FF62DD6"/>
    <w:rsid w:val="31322C20"/>
    <w:rsid w:val="319D1D78"/>
    <w:rsid w:val="31B312C5"/>
    <w:rsid w:val="31CD787E"/>
    <w:rsid w:val="32554CEB"/>
    <w:rsid w:val="333459EC"/>
    <w:rsid w:val="334A535F"/>
    <w:rsid w:val="335C4604"/>
    <w:rsid w:val="34256C9D"/>
    <w:rsid w:val="34E86DB2"/>
    <w:rsid w:val="34EC4E04"/>
    <w:rsid w:val="352B5887"/>
    <w:rsid w:val="355C450E"/>
    <w:rsid w:val="35DC5697"/>
    <w:rsid w:val="36AA1371"/>
    <w:rsid w:val="36AC5970"/>
    <w:rsid w:val="374A2D4A"/>
    <w:rsid w:val="38EC4DA6"/>
    <w:rsid w:val="39131F02"/>
    <w:rsid w:val="3A0E1EFC"/>
    <w:rsid w:val="3AC43C22"/>
    <w:rsid w:val="3C755CDF"/>
    <w:rsid w:val="3CAF334D"/>
    <w:rsid w:val="3CC41CC6"/>
    <w:rsid w:val="3D0C705D"/>
    <w:rsid w:val="3D652004"/>
    <w:rsid w:val="3D7C5376"/>
    <w:rsid w:val="3DAC00B9"/>
    <w:rsid w:val="3FC80C2D"/>
    <w:rsid w:val="40634FB9"/>
    <w:rsid w:val="40701D8D"/>
    <w:rsid w:val="414B3B8A"/>
    <w:rsid w:val="423563F6"/>
    <w:rsid w:val="449823E1"/>
    <w:rsid w:val="44A40485"/>
    <w:rsid w:val="455E35C8"/>
    <w:rsid w:val="45A8682D"/>
    <w:rsid w:val="45B46435"/>
    <w:rsid w:val="45D63309"/>
    <w:rsid w:val="461F7317"/>
    <w:rsid w:val="47784432"/>
    <w:rsid w:val="484D7D4E"/>
    <w:rsid w:val="48C75D67"/>
    <w:rsid w:val="48DA04B1"/>
    <w:rsid w:val="490E594A"/>
    <w:rsid w:val="4A063DE5"/>
    <w:rsid w:val="4A465BD1"/>
    <w:rsid w:val="4B0C78E2"/>
    <w:rsid w:val="4B275F46"/>
    <w:rsid w:val="4BA24736"/>
    <w:rsid w:val="4C0018D8"/>
    <w:rsid w:val="4C34281C"/>
    <w:rsid w:val="4CE36D3B"/>
    <w:rsid w:val="4D0372CE"/>
    <w:rsid w:val="4D0F0339"/>
    <w:rsid w:val="4E3201E3"/>
    <w:rsid w:val="4E896231"/>
    <w:rsid w:val="4EC75621"/>
    <w:rsid w:val="4F3500F3"/>
    <w:rsid w:val="4F9D6514"/>
    <w:rsid w:val="4FCD20FE"/>
    <w:rsid w:val="50106DAB"/>
    <w:rsid w:val="50615F3B"/>
    <w:rsid w:val="50B56858"/>
    <w:rsid w:val="50EB11A3"/>
    <w:rsid w:val="510A191B"/>
    <w:rsid w:val="51741049"/>
    <w:rsid w:val="51D720B4"/>
    <w:rsid w:val="52270A94"/>
    <w:rsid w:val="52B74881"/>
    <w:rsid w:val="53841CCF"/>
    <w:rsid w:val="53B72C60"/>
    <w:rsid w:val="53B87587"/>
    <w:rsid w:val="547778E5"/>
    <w:rsid w:val="55153F14"/>
    <w:rsid w:val="554313E8"/>
    <w:rsid w:val="5598717D"/>
    <w:rsid w:val="55DD0288"/>
    <w:rsid w:val="55F6436C"/>
    <w:rsid w:val="5652535F"/>
    <w:rsid w:val="58CE7989"/>
    <w:rsid w:val="59F904AC"/>
    <w:rsid w:val="5A58687D"/>
    <w:rsid w:val="5AA61584"/>
    <w:rsid w:val="5AAF4C09"/>
    <w:rsid w:val="5AD91545"/>
    <w:rsid w:val="5C6F16FF"/>
    <w:rsid w:val="5C813A6B"/>
    <w:rsid w:val="5E0D0D00"/>
    <w:rsid w:val="5F1C3FCD"/>
    <w:rsid w:val="60042A4A"/>
    <w:rsid w:val="60220245"/>
    <w:rsid w:val="6047424B"/>
    <w:rsid w:val="609B4884"/>
    <w:rsid w:val="613223EA"/>
    <w:rsid w:val="620B510F"/>
    <w:rsid w:val="623C339D"/>
    <w:rsid w:val="62C43095"/>
    <w:rsid w:val="62D02C45"/>
    <w:rsid w:val="6325760B"/>
    <w:rsid w:val="63C35569"/>
    <w:rsid w:val="64874010"/>
    <w:rsid w:val="652C6399"/>
    <w:rsid w:val="663D5B7F"/>
    <w:rsid w:val="66D30C2B"/>
    <w:rsid w:val="67B123CD"/>
    <w:rsid w:val="67D35200"/>
    <w:rsid w:val="68EB29A8"/>
    <w:rsid w:val="6AA6782C"/>
    <w:rsid w:val="6AC60B05"/>
    <w:rsid w:val="6B4C47EC"/>
    <w:rsid w:val="6C1F0D6D"/>
    <w:rsid w:val="6D287EA7"/>
    <w:rsid w:val="6D36218B"/>
    <w:rsid w:val="6E99467C"/>
    <w:rsid w:val="6EC4384C"/>
    <w:rsid w:val="6EDF013C"/>
    <w:rsid w:val="6EF24327"/>
    <w:rsid w:val="6F3D0001"/>
    <w:rsid w:val="70624C12"/>
    <w:rsid w:val="707E029B"/>
    <w:rsid w:val="712A5BF0"/>
    <w:rsid w:val="71557AA5"/>
    <w:rsid w:val="71B17914"/>
    <w:rsid w:val="72D11249"/>
    <w:rsid w:val="730535D8"/>
    <w:rsid w:val="73380B59"/>
    <w:rsid w:val="746374BB"/>
    <w:rsid w:val="749C33A2"/>
    <w:rsid w:val="74AD7B4E"/>
    <w:rsid w:val="74CF56B7"/>
    <w:rsid w:val="75096688"/>
    <w:rsid w:val="76BC3505"/>
    <w:rsid w:val="77B07B27"/>
    <w:rsid w:val="77DE436A"/>
    <w:rsid w:val="783D0789"/>
    <w:rsid w:val="791567E2"/>
    <w:rsid w:val="7970661D"/>
    <w:rsid w:val="79D16E8F"/>
    <w:rsid w:val="7A17609D"/>
    <w:rsid w:val="7AD94F97"/>
    <w:rsid w:val="7AF43EDF"/>
    <w:rsid w:val="7B003521"/>
    <w:rsid w:val="7BBD54CA"/>
    <w:rsid w:val="7CB90C48"/>
    <w:rsid w:val="7E94180E"/>
    <w:rsid w:val="7EC84E6F"/>
    <w:rsid w:val="7EDE71EE"/>
    <w:rsid w:val="7F7C28D3"/>
    <w:rsid w:val="7FCF0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6"/>
    <w:unhideWhenUsed/>
    <w:qFormat/>
    <w:uiPriority w:val="99"/>
    <w:pPr>
      <w:jc w:val="left"/>
    </w:pPr>
  </w:style>
  <w:style w:type="paragraph" w:styleId="4">
    <w:name w:val="Body Text"/>
    <w:basedOn w:val="1"/>
    <w:link w:val="19"/>
    <w:qFormat/>
    <w:uiPriority w:val="0"/>
    <w:rPr>
      <w:sz w:val="20"/>
      <w:szCs w:val="20"/>
    </w:rPr>
  </w:style>
  <w:style w:type="paragraph" w:styleId="5">
    <w:name w:val="Balloon Text"/>
    <w:basedOn w:val="1"/>
    <w:link w:val="18"/>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3"/>
    <w:next w:val="3"/>
    <w:link w:val="17"/>
    <w:qFormat/>
    <w:uiPriority w:val="0"/>
    <w:rPr>
      <w:b/>
      <w:bCs/>
    </w:rPr>
  </w:style>
  <w:style w:type="character" w:styleId="12">
    <w:name w:val="annotation reference"/>
    <w:basedOn w:val="11"/>
    <w:qFormat/>
    <w:uiPriority w:val="0"/>
    <w:rPr>
      <w:sz w:val="21"/>
      <w:szCs w:val="21"/>
    </w:rPr>
  </w:style>
  <w:style w:type="paragraph" w:styleId="13">
    <w:name w:val="List Paragraph"/>
    <w:basedOn w:val="1"/>
    <w:qFormat/>
    <w:uiPriority w:val="34"/>
    <w:pPr>
      <w:ind w:firstLine="420" w:firstLineChars="200"/>
    </w:pPr>
  </w:style>
  <w:style w:type="character" w:customStyle="1" w:styleId="14">
    <w:name w:val="页眉 字符"/>
    <w:basedOn w:val="11"/>
    <w:link w:val="7"/>
    <w:qFormat/>
    <w:uiPriority w:val="0"/>
    <w:rPr>
      <w:kern w:val="2"/>
      <w:sz w:val="18"/>
      <w:szCs w:val="18"/>
    </w:rPr>
  </w:style>
  <w:style w:type="character" w:customStyle="1" w:styleId="15">
    <w:name w:val="页脚 字符"/>
    <w:basedOn w:val="11"/>
    <w:link w:val="6"/>
    <w:qFormat/>
    <w:uiPriority w:val="0"/>
    <w:rPr>
      <w:kern w:val="2"/>
      <w:sz w:val="18"/>
      <w:szCs w:val="18"/>
    </w:rPr>
  </w:style>
  <w:style w:type="character" w:customStyle="1" w:styleId="16">
    <w:name w:val="批注文字 字符"/>
    <w:basedOn w:val="11"/>
    <w:link w:val="3"/>
    <w:qFormat/>
    <w:uiPriority w:val="99"/>
    <w:rPr>
      <w:kern w:val="2"/>
      <w:sz w:val="21"/>
      <w:szCs w:val="24"/>
    </w:rPr>
  </w:style>
  <w:style w:type="character" w:customStyle="1" w:styleId="17">
    <w:name w:val="批注主题 字符"/>
    <w:basedOn w:val="16"/>
    <w:link w:val="9"/>
    <w:qFormat/>
    <w:uiPriority w:val="0"/>
    <w:rPr>
      <w:b/>
      <w:bCs/>
      <w:kern w:val="2"/>
      <w:sz w:val="21"/>
      <w:szCs w:val="24"/>
    </w:rPr>
  </w:style>
  <w:style w:type="character" w:customStyle="1" w:styleId="18">
    <w:name w:val="批注框文本 字符"/>
    <w:basedOn w:val="11"/>
    <w:link w:val="5"/>
    <w:qFormat/>
    <w:uiPriority w:val="0"/>
    <w:rPr>
      <w:kern w:val="2"/>
      <w:sz w:val="18"/>
      <w:szCs w:val="18"/>
    </w:rPr>
  </w:style>
  <w:style w:type="character" w:customStyle="1" w:styleId="19">
    <w:name w:val="正文文本 字符"/>
    <w:basedOn w:val="11"/>
    <w:link w:val="4"/>
    <w:qFormat/>
    <w:uiPriority w:val="0"/>
    <w:rPr>
      <w:kern w:val="2"/>
    </w:rPr>
  </w:style>
  <w:style w:type="paragraph" w:customStyle="1" w:styleId="20">
    <w:name w:val="列表段落1"/>
    <w:basedOn w:val="1"/>
    <w:qFormat/>
    <w:uiPriority w:val="99"/>
    <w:pPr>
      <w:spacing w:line="240" w:lineRule="auto"/>
      <w:ind w:firstLine="420" w:firstLineChars="200"/>
    </w:pPr>
    <w:rPr>
      <w:rFonts w:ascii="Calibri" w:hAnsi="Calibri" w:eastAsia="宋体" w:cs="宋体"/>
      <w:szCs w:val="24"/>
    </w:rPr>
  </w:style>
  <w:style w:type="paragraph" w:customStyle="1" w:styleId="2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133537-D250-44E2-B94E-8E699B973411}">
  <ds:schemaRefs/>
</ds:datastoreItem>
</file>

<file path=docProps/app.xml><?xml version="1.0" encoding="utf-8"?>
<Properties xmlns="http://schemas.openxmlformats.org/officeDocument/2006/extended-properties" xmlns:vt="http://schemas.openxmlformats.org/officeDocument/2006/docPropsVTypes">
  <Template>Normal.dotm</Template>
  <Company>CPIC</Company>
  <Pages>8</Pages>
  <Words>1424</Words>
  <Characters>8117</Characters>
  <Lines>67</Lines>
  <Paragraphs>19</Paragraphs>
  <TotalTime>0</TotalTime>
  <ScaleCrop>false</ScaleCrop>
  <LinksUpToDate>false</LinksUpToDate>
  <CharactersWithSpaces>9522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2021-09-06T10:28:00Z</dcterms:created>
  <dc:creator>fangxiao-005</dc:creator>
  <cp:lastModifiedBy>赵坤</cp:lastModifiedBy>
  <dcterms:modified xsi:type="dcterms:W3CDTF">2024-01-25T03:36:40Z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