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ind w:firstLine="57"/>
        <w:jc w:val="center"/>
        <w:rPr>
          <w:rFonts w:hint="eastAsia" w:ascii="黑体" w:hAnsi="黑体" w:eastAsia="黑体" w:cs="黑体"/>
          <w:b/>
          <w:bCs/>
          <w:sz w:val="32"/>
          <w:szCs w:val="32"/>
        </w:rPr>
      </w:pPr>
      <w:r>
        <w:rPr>
          <w:rFonts w:hint="eastAsia" w:ascii="黑体" w:hAnsi="黑体" w:eastAsia="黑体" w:cs="黑体"/>
          <w:b/>
          <w:bCs/>
          <w:sz w:val="32"/>
          <w:szCs w:val="32"/>
        </w:rPr>
        <w:t>太平洋安信农业保险股份有限公司</w:t>
      </w:r>
    </w:p>
    <w:p>
      <w:pPr>
        <w:spacing w:line="700" w:lineRule="exact"/>
        <w:ind w:firstLine="57"/>
        <w:jc w:val="center"/>
        <w:rPr>
          <w:rFonts w:hint="eastAsia" w:ascii="黑体" w:hAnsi="黑体" w:eastAsia="黑体" w:cs="黑体"/>
          <w:b/>
          <w:bCs/>
          <w:sz w:val="32"/>
          <w:szCs w:val="32"/>
        </w:rPr>
      </w:pPr>
      <w:r>
        <w:rPr>
          <w:rFonts w:hint="eastAsia" w:ascii="黑体" w:hAnsi="黑体" w:eastAsia="黑体" w:cs="黑体"/>
          <w:b/>
          <w:bCs/>
          <w:sz w:val="32"/>
          <w:szCs w:val="32"/>
        </w:rPr>
        <w:t>农业保险数字化服务平台APP项目（2026-2027年度）</w:t>
      </w:r>
    </w:p>
    <w:p>
      <w:pPr>
        <w:spacing w:line="700" w:lineRule="exact"/>
        <w:ind w:firstLine="57"/>
        <w:jc w:val="center"/>
        <w:rPr>
          <w:rFonts w:hint="eastAsia" w:ascii="黑体" w:hAnsi="黑体" w:eastAsia="黑体" w:cs="黑体"/>
          <w:b/>
          <w:bCs/>
          <w:sz w:val="32"/>
          <w:szCs w:val="32"/>
        </w:rPr>
      </w:pPr>
      <w:r>
        <w:rPr>
          <w:rFonts w:hint="eastAsia" w:ascii="黑体" w:hAnsi="黑体" w:eastAsia="黑体" w:cs="黑体"/>
          <w:b/>
          <w:bCs/>
          <w:sz w:val="32"/>
          <w:szCs w:val="32"/>
          <w:lang w:val="en-US" w:eastAsia="zh-CN"/>
        </w:rPr>
        <w:t>公开</w:t>
      </w:r>
      <w:r>
        <w:rPr>
          <w:rFonts w:hint="eastAsia" w:ascii="黑体" w:hAnsi="黑体" w:eastAsia="黑体" w:cs="黑体"/>
          <w:b/>
          <w:bCs/>
          <w:sz w:val="32"/>
          <w:szCs w:val="32"/>
        </w:rPr>
        <w:t>竞价公告</w:t>
      </w:r>
    </w:p>
    <w:p>
      <w:pPr>
        <w:spacing w:line="360" w:lineRule="auto"/>
        <w:ind w:firstLine="480" w:firstLineChars="200"/>
        <w:rPr>
          <w:rFonts w:hint="eastAsia" w:ascii="仿宋" w:hAnsi="仿宋" w:eastAsia="仿宋" w:cs="Times New Roman"/>
          <w:sz w:val="24"/>
          <w:szCs w:val="28"/>
          <w:lang w:val="en-US" w:eastAsia="zh-CN"/>
        </w:rPr>
      </w:pPr>
      <w:r>
        <w:rPr>
          <w:rFonts w:hint="eastAsia" w:ascii="仿宋" w:hAnsi="仿宋" w:eastAsia="仿宋" w:cs="Times New Roman"/>
          <w:sz w:val="24"/>
          <w:szCs w:val="28"/>
          <w:lang w:val="en-US" w:eastAsia="zh-CN"/>
        </w:rPr>
        <w:t>太平洋安信农业保险股份有限公司（以下简称“太安农险”）现邀请合格的供应商参与本项目的采购竞价，太安农险偿付能力符合监管规定,具体可在太安农险官网查询</w:t>
      </w:r>
      <w:r>
        <w:rPr>
          <w:rFonts w:hint="eastAsia" w:ascii="仿宋" w:hAnsi="仿宋" w:eastAsia="仿宋" w:cs="Times New Roman"/>
          <w:sz w:val="24"/>
          <w:szCs w:val="28"/>
          <w:lang w:val="en-US" w:eastAsia="zh-CN"/>
        </w:rPr>
        <w:fldChar w:fldCharType="begin"/>
      </w:r>
      <w:r>
        <w:rPr>
          <w:rFonts w:hint="eastAsia" w:ascii="仿宋" w:hAnsi="仿宋" w:eastAsia="仿宋" w:cs="Times New Roman"/>
          <w:sz w:val="24"/>
          <w:szCs w:val="28"/>
          <w:lang w:val="en-US" w:eastAsia="zh-CN"/>
        </w:rPr>
        <w:instrText xml:space="preserve"> HYPERLINK "http://www.aaic.com.cn/" </w:instrText>
      </w:r>
      <w:r>
        <w:rPr>
          <w:rFonts w:hint="eastAsia" w:ascii="仿宋" w:hAnsi="仿宋" w:eastAsia="仿宋" w:cs="Times New Roman"/>
          <w:sz w:val="24"/>
          <w:szCs w:val="28"/>
          <w:lang w:val="en-US" w:eastAsia="zh-CN"/>
        </w:rPr>
        <w:fldChar w:fldCharType="separate"/>
      </w:r>
      <w:r>
        <w:rPr>
          <w:rFonts w:hint="eastAsia" w:ascii="仿宋" w:hAnsi="仿宋" w:eastAsia="仿宋" w:cs="Times New Roman"/>
          <w:sz w:val="24"/>
          <w:szCs w:val="28"/>
          <w:lang w:val="en-US" w:eastAsia="zh-CN"/>
        </w:rPr>
        <w:t>www.aaic.com.cn</w:t>
      </w:r>
      <w:r>
        <w:rPr>
          <w:rFonts w:hint="eastAsia" w:ascii="仿宋" w:hAnsi="仿宋" w:eastAsia="仿宋" w:cs="Times New Roman"/>
          <w:sz w:val="24"/>
          <w:szCs w:val="28"/>
          <w:lang w:val="en-US" w:eastAsia="zh-CN"/>
        </w:rPr>
        <w:fldChar w:fldCharType="end"/>
      </w:r>
      <w:r>
        <w:rPr>
          <w:rFonts w:hint="eastAsia" w:ascii="仿宋" w:hAnsi="仿宋" w:eastAsia="仿宋" w:cs="Times New Roman"/>
          <w:sz w:val="24"/>
          <w:szCs w:val="28"/>
          <w:lang w:val="en-US" w:eastAsia="zh-CN"/>
        </w:rPr>
        <w:t>，太安农险将择优选定中选人，欢迎符合资格要求的供应商踊跃参与，现将有关事项公告如下。</w:t>
      </w:r>
    </w:p>
    <w:p>
      <w:pPr>
        <w:numPr>
          <w:ilvl w:val="0"/>
          <w:numId w:val="2"/>
        </w:numPr>
        <w:spacing w:line="360" w:lineRule="auto"/>
        <w:ind w:firstLine="472" w:firstLineChars="196"/>
        <w:outlineLvl w:val="0"/>
        <w:rPr>
          <w:rFonts w:hint="eastAsia" w:ascii="黑体" w:hAnsi="黑体" w:eastAsia="黑体" w:cs="黑体"/>
          <w:b/>
          <w:sz w:val="24"/>
        </w:rPr>
      </w:pPr>
      <w:r>
        <w:rPr>
          <w:rFonts w:hint="eastAsia" w:ascii="黑体" w:hAnsi="黑体" w:eastAsia="黑体" w:cs="黑体"/>
          <w:b/>
          <w:sz w:val="24"/>
          <w:lang w:val="en-US" w:eastAsia="zh-CN"/>
        </w:rPr>
        <w:t>采购</w:t>
      </w:r>
      <w:r>
        <w:rPr>
          <w:rFonts w:hint="eastAsia" w:ascii="黑体" w:hAnsi="黑体" w:eastAsia="黑体" w:cs="黑体"/>
          <w:b/>
          <w:sz w:val="24"/>
        </w:rPr>
        <w:t>单位：</w:t>
      </w:r>
      <w:r>
        <w:rPr>
          <w:rFonts w:hint="eastAsia" w:ascii="仿宋" w:hAnsi="仿宋" w:eastAsia="仿宋" w:cs="Times New Roman"/>
          <w:sz w:val="24"/>
          <w:szCs w:val="28"/>
          <w:lang w:val="en-US" w:eastAsia="zh-CN"/>
        </w:rPr>
        <w:t>太平洋安信农业保险股份有限公司</w:t>
      </w:r>
    </w:p>
    <w:p>
      <w:pPr>
        <w:numPr>
          <w:ilvl w:val="0"/>
          <w:numId w:val="2"/>
        </w:numPr>
        <w:spacing w:line="360" w:lineRule="auto"/>
        <w:ind w:firstLine="472" w:firstLineChars="196"/>
        <w:outlineLvl w:val="0"/>
        <w:rPr>
          <w:rFonts w:hint="eastAsia" w:ascii="黑体" w:hAnsi="黑体" w:eastAsia="黑体" w:cs="黑体"/>
          <w:b/>
          <w:sz w:val="24"/>
        </w:rPr>
      </w:pPr>
      <w:r>
        <w:rPr>
          <w:rFonts w:hint="eastAsia" w:ascii="黑体" w:hAnsi="黑体" w:eastAsia="黑体" w:cs="黑体"/>
          <w:b/>
          <w:sz w:val="24"/>
          <w:lang w:val="en-US" w:eastAsia="zh-CN"/>
        </w:rPr>
        <w:t>单位</w:t>
      </w:r>
      <w:r>
        <w:rPr>
          <w:rFonts w:hint="eastAsia" w:ascii="黑体" w:hAnsi="黑体" w:eastAsia="黑体" w:cs="黑体"/>
          <w:b/>
          <w:sz w:val="24"/>
        </w:rPr>
        <w:t>地址：</w:t>
      </w:r>
      <w:r>
        <w:rPr>
          <w:rFonts w:hint="eastAsia" w:ascii="仿宋" w:hAnsi="仿宋" w:eastAsia="仿宋" w:cs="Times New Roman"/>
          <w:sz w:val="24"/>
          <w:szCs w:val="28"/>
          <w:lang w:val="en-US" w:eastAsia="zh-CN"/>
        </w:rPr>
        <w:t>上海市静安区共和新路3651号农保大厦</w:t>
      </w:r>
    </w:p>
    <w:p>
      <w:pPr>
        <w:numPr>
          <w:ilvl w:val="0"/>
          <w:numId w:val="2"/>
        </w:numPr>
        <w:spacing w:line="360" w:lineRule="auto"/>
        <w:ind w:firstLine="472" w:firstLineChars="196"/>
        <w:outlineLvl w:val="0"/>
        <w:rPr>
          <w:rFonts w:hint="default" w:ascii="黑体" w:hAnsi="黑体" w:eastAsia="黑体" w:cs="黑体"/>
          <w:b/>
          <w:sz w:val="24"/>
          <w:lang w:val="en-US" w:eastAsia="zh-CN"/>
        </w:rPr>
      </w:pPr>
      <w:r>
        <w:rPr>
          <w:rFonts w:hint="eastAsia" w:ascii="黑体" w:hAnsi="黑体" w:eastAsia="黑体" w:cs="黑体"/>
          <w:b/>
          <w:sz w:val="24"/>
          <w:lang w:val="en-US" w:eastAsia="zh-CN"/>
        </w:rPr>
        <w:t>采购项目名称：</w:t>
      </w:r>
      <w:r>
        <w:rPr>
          <w:rFonts w:hint="eastAsia" w:ascii="仿宋" w:hAnsi="仿宋" w:eastAsia="仿宋" w:cs="Times New Roman"/>
          <w:sz w:val="24"/>
          <w:szCs w:val="28"/>
          <w:lang w:val="en-US" w:eastAsia="zh-CN"/>
        </w:rPr>
        <w:t>太安农险农业保险数字化服务平台APP项目（2026-2027年度）</w:t>
      </w:r>
    </w:p>
    <w:p>
      <w:pPr>
        <w:numPr>
          <w:ilvl w:val="0"/>
          <w:numId w:val="2"/>
        </w:numPr>
        <w:spacing w:line="360" w:lineRule="auto"/>
        <w:ind w:firstLine="472" w:firstLineChars="196"/>
        <w:outlineLvl w:val="0"/>
        <w:rPr>
          <w:rFonts w:hint="default" w:ascii="黑体" w:hAnsi="黑体" w:eastAsia="黑体" w:cs="黑体"/>
          <w:b/>
          <w:sz w:val="24"/>
          <w:lang w:val="en-US" w:eastAsia="zh-CN"/>
        </w:rPr>
      </w:pPr>
      <w:r>
        <w:rPr>
          <w:rFonts w:hint="eastAsia" w:ascii="黑体" w:hAnsi="黑体" w:eastAsia="黑体" w:cs="黑体"/>
          <w:b/>
          <w:sz w:val="24"/>
          <w:lang w:val="en-US" w:eastAsia="zh-CN"/>
        </w:rPr>
        <w:t>采购预算（含税最高限价）：</w:t>
      </w:r>
      <w:r>
        <w:rPr>
          <w:rFonts w:hint="eastAsia" w:ascii="仿宋" w:hAnsi="仿宋" w:eastAsia="仿宋" w:cs="Times New Roman"/>
          <w:sz w:val="24"/>
          <w:szCs w:val="28"/>
          <w:lang w:val="en-US" w:eastAsia="zh-CN"/>
        </w:rPr>
        <w:t>人民币90万</w:t>
      </w:r>
    </w:p>
    <w:p>
      <w:pPr>
        <w:numPr>
          <w:ilvl w:val="0"/>
          <w:numId w:val="2"/>
        </w:numPr>
        <w:spacing w:line="360" w:lineRule="auto"/>
        <w:ind w:firstLine="472" w:firstLineChars="196"/>
        <w:outlineLvl w:val="0"/>
        <w:rPr>
          <w:rFonts w:ascii="黑体" w:hAnsi="黑体" w:eastAsia="黑体" w:cs="黑体"/>
          <w:b/>
          <w:sz w:val="24"/>
        </w:rPr>
      </w:pPr>
      <w:r>
        <w:rPr>
          <w:rFonts w:hint="eastAsia" w:ascii="黑体" w:hAnsi="黑体" w:eastAsia="黑体" w:cs="黑体"/>
          <w:b/>
          <w:sz w:val="24"/>
        </w:rPr>
        <w:t>采购需求</w:t>
      </w:r>
    </w:p>
    <w:p>
      <w:pPr>
        <w:numPr>
          <w:ilvl w:val="0"/>
          <w:numId w:val="3"/>
        </w:numPr>
        <w:spacing w:line="360" w:lineRule="auto"/>
        <w:ind w:firstLine="482"/>
        <w:outlineLvl w:val="0"/>
        <w:rPr>
          <w:rFonts w:ascii="黑体" w:hAnsi="黑体" w:eastAsia="黑体" w:cs="黑体"/>
          <w:b/>
          <w:sz w:val="24"/>
        </w:rPr>
      </w:pPr>
      <w:r>
        <w:rPr>
          <w:rFonts w:hint="eastAsia" w:ascii="黑体" w:hAnsi="黑体" w:eastAsia="黑体" w:cs="黑体"/>
          <w:b/>
          <w:sz w:val="24"/>
        </w:rPr>
        <w:t>项目目标</w:t>
      </w:r>
    </w:p>
    <w:p>
      <w:pPr>
        <w:spacing w:line="360" w:lineRule="auto"/>
        <w:ind w:firstLine="480" w:firstLineChars="200"/>
        <w:rPr>
          <w:rFonts w:hint="eastAsia" w:ascii="仿宋" w:hAnsi="仿宋" w:eastAsia="仿宋" w:cs="Times New Roman"/>
          <w:sz w:val="24"/>
          <w:szCs w:val="28"/>
          <w:lang w:val="en-US" w:eastAsia="zh-CN"/>
        </w:rPr>
      </w:pPr>
      <w:r>
        <w:rPr>
          <w:rFonts w:hint="eastAsia" w:ascii="仿宋" w:hAnsi="仿宋" w:eastAsia="仿宋" w:cs="Times New Roman"/>
          <w:sz w:val="24"/>
          <w:szCs w:val="28"/>
          <w:lang w:val="en-US" w:eastAsia="zh-CN"/>
        </w:rPr>
        <w:t>本项目围绕公司农业数字化业务持续运营、合规管控、系统安全稳定运行核心需求，通过数字化服务平台平台全链路运维、版本迭代、新增管理系统开发、底层微服务架构优化升级，在2027年03月31日前,实现三大核心目标：</w:t>
      </w:r>
    </w:p>
    <w:p>
      <w:pPr>
        <w:spacing w:line="360" w:lineRule="auto"/>
        <w:ind w:firstLine="480" w:firstLineChars="200"/>
        <w:rPr>
          <w:rFonts w:hint="eastAsia" w:ascii="仿宋" w:hAnsi="仿宋" w:eastAsia="仿宋" w:cs="Times New Roman"/>
          <w:sz w:val="24"/>
          <w:szCs w:val="28"/>
          <w:lang w:val="en-US" w:eastAsia="zh-CN"/>
        </w:rPr>
      </w:pPr>
      <w:r>
        <w:rPr>
          <w:rFonts w:hint="eastAsia" w:ascii="仿宋" w:hAnsi="仿宋" w:eastAsia="仿宋" w:cs="Times New Roman"/>
          <w:sz w:val="24"/>
          <w:szCs w:val="28"/>
          <w:lang w:val="en-US" w:eastAsia="zh-CN"/>
        </w:rPr>
        <w:t>1）提升一线数字化业务服务效能，持续保障现有“智农A20”移动端与后台管理端稳定运行，结合业务场景迭代优化现有功能、集成新增业务能力，简化承保、查勘、理赔、展业全流程操作，打通地块、保单、业务数据联动能力，降低一线人员操作成本，全面提升农险业务线上化办理效率。</w:t>
      </w:r>
    </w:p>
    <w:p>
      <w:pPr>
        <w:spacing w:line="360" w:lineRule="auto"/>
        <w:ind w:firstLine="480" w:firstLineChars="200"/>
        <w:rPr>
          <w:rFonts w:hint="eastAsia" w:ascii="仿宋" w:hAnsi="仿宋" w:eastAsia="仿宋" w:cs="Times New Roman"/>
          <w:sz w:val="24"/>
          <w:szCs w:val="28"/>
          <w:lang w:val="en-US" w:eastAsia="zh-CN"/>
        </w:rPr>
      </w:pPr>
      <w:r>
        <w:rPr>
          <w:rFonts w:hint="eastAsia" w:ascii="仿宋" w:hAnsi="仿宋" w:eastAsia="仿宋" w:cs="Times New Roman"/>
          <w:sz w:val="24"/>
          <w:szCs w:val="28"/>
          <w:lang w:val="en-US" w:eastAsia="zh-CN"/>
        </w:rPr>
        <w:t>2）搭建标准化、闭环化数字化管控体，开发地块库系统一期、制度库平台、效率督导平台三大专项管理模块，满足监管地块数据报送、制度管理、业务时效督导考核要求；实现地块数据标准化上图与合规报送、内外部制度全生命周期管理、全业务流程时效监控与基层意见督办闭环，强化公司精细化、合规化数字化管理能力。</w:t>
      </w:r>
    </w:p>
    <w:p>
      <w:pPr>
        <w:spacing w:line="360" w:lineRule="auto"/>
        <w:ind w:firstLine="480" w:firstLineChars="200"/>
        <w:rPr>
          <w:rFonts w:hint="default" w:ascii="仿宋" w:hAnsi="仿宋" w:eastAsia="仿宋" w:cs="Times New Roman"/>
          <w:sz w:val="24"/>
          <w:szCs w:val="28"/>
          <w:lang w:val="en-US" w:eastAsia="zh-CN"/>
        </w:rPr>
      </w:pPr>
      <w:r>
        <w:rPr>
          <w:rFonts w:hint="eastAsia" w:ascii="仿宋" w:hAnsi="仿宋" w:eastAsia="仿宋" w:cs="Times New Roman"/>
          <w:sz w:val="24"/>
          <w:szCs w:val="28"/>
          <w:lang w:val="en-US" w:eastAsia="zh-CN"/>
        </w:rPr>
        <w:t>3）筑牢安全、高性能、可扩展的技术底座，常态化开展系统安全运维、渗透测试、客户信息安全防护，持续优化微服务架构性能瓶颈，完成文件服务、AI 基础能力、统一鉴权等核心技术组件迭代升级，全面提升系统稳定性、数据安全性、并发承载能力，支撑未来业务规模与数据量持续增长，为农业数字化平台长期稳定运行提供技术保障。</w:t>
      </w:r>
    </w:p>
    <w:p>
      <w:pPr>
        <w:numPr>
          <w:ilvl w:val="0"/>
          <w:numId w:val="3"/>
        </w:numPr>
        <w:spacing w:line="360" w:lineRule="auto"/>
        <w:outlineLvl w:val="0"/>
        <w:rPr>
          <w:rFonts w:ascii="黑体" w:hAnsi="黑体" w:eastAsia="黑体" w:cs="黑体"/>
          <w:b/>
          <w:sz w:val="24"/>
        </w:rPr>
      </w:pPr>
      <w:r>
        <w:rPr>
          <w:rFonts w:hint="eastAsia" w:ascii="黑体" w:hAnsi="黑体" w:eastAsia="黑体" w:cs="黑体"/>
          <w:b/>
          <w:sz w:val="24"/>
          <w:lang w:val="en-US" w:eastAsia="zh-CN"/>
        </w:rPr>
        <w:t>项目范围</w:t>
      </w:r>
    </w:p>
    <w:p>
      <w:pPr>
        <w:spacing w:line="360" w:lineRule="auto"/>
        <w:ind w:firstLine="480" w:firstLineChars="200"/>
        <w:rPr>
          <w:rFonts w:hint="eastAsia" w:ascii="仿宋" w:hAnsi="仿宋" w:eastAsia="仿宋" w:cs="Times New Roman"/>
          <w:sz w:val="24"/>
          <w:szCs w:val="28"/>
          <w:lang w:val="en-US" w:eastAsia="zh-CN"/>
        </w:rPr>
      </w:pPr>
      <w:r>
        <w:rPr>
          <w:rFonts w:hint="eastAsia" w:ascii="仿宋" w:hAnsi="仿宋" w:eastAsia="仿宋" w:cs="Times New Roman"/>
          <w:sz w:val="24"/>
          <w:szCs w:val="28"/>
          <w:lang w:val="en-US" w:eastAsia="zh-CN"/>
        </w:rPr>
        <w:t>项目范围分为</w:t>
      </w:r>
      <w:r>
        <w:rPr>
          <w:rFonts w:hint="eastAsia" w:ascii="仿宋" w:hAnsi="仿宋" w:eastAsia="仿宋" w:cs="Times New Roman"/>
          <w:b w:val="0"/>
          <w:bCs w:val="0"/>
          <w:sz w:val="24"/>
          <w:szCs w:val="28"/>
          <w:lang w:val="en-US" w:eastAsia="zh-CN"/>
        </w:rPr>
        <w:t>智农</w:t>
      </w:r>
      <w:r>
        <w:rPr>
          <w:rFonts w:hint="eastAsia" w:ascii="仿宋" w:hAnsi="仿宋" w:eastAsia="仿宋" w:cs="Times New Roman"/>
          <w:sz w:val="24"/>
          <w:szCs w:val="28"/>
          <w:lang w:val="en-US" w:eastAsia="zh-CN"/>
        </w:rPr>
        <w:t>A20 前后端维护及迭代、综合管理平台功能开发、系统架构与核心技术组件运维升级三大板块，具体内容如下：</w:t>
      </w:r>
    </w:p>
    <w:p>
      <w:pPr>
        <w:spacing w:line="360" w:lineRule="auto"/>
        <w:ind w:firstLine="482" w:firstLineChars="200"/>
        <w:rPr>
          <w:rFonts w:hint="eastAsia" w:ascii="仿宋" w:hAnsi="仿宋" w:eastAsia="仿宋" w:cs="Times New Roman"/>
          <w:sz w:val="24"/>
          <w:szCs w:val="28"/>
          <w:lang w:val="en-US" w:eastAsia="zh-CN"/>
        </w:rPr>
      </w:pPr>
      <w:r>
        <w:rPr>
          <w:rFonts w:hint="eastAsia" w:ascii="仿宋" w:hAnsi="仿宋" w:eastAsia="仿宋" w:cs="Times New Roman"/>
          <w:b/>
          <w:bCs/>
          <w:sz w:val="24"/>
          <w:szCs w:val="28"/>
          <w:lang w:val="en-US" w:eastAsia="zh-CN"/>
        </w:rPr>
        <w:t>（一）智农A20 前后端维护及迭代</w:t>
      </w:r>
    </w:p>
    <w:p>
      <w:pPr>
        <w:numPr>
          <w:ilvl w:val="0"/>
          <w:numId w:val="0"/>
        </w:numPr>
        <w:spacing w:line="360" w:lineRule="auto"/>
        <w:ind w:leftChars="0" w:firstLine="420" w:firstLineChars="0"/>
        <w:rPr>
          <w:rFonts w:hint="eastAsia" w:ascii="仿宋" w:hAnsi="仿宋" w:eastAsia="仿宋" w:cs="Times New Roman"/>
          <w:sz w:val="24"/>
          <w:szCs w:val="28"/>
          <w:lang w:val="en-US" w:eastAsia="zh-CN"/>
        </w:rPr>
      </w:pPr>
      <w:r>
        <w:rPr>
          <w:rFonts w:hint="eastAsia" w:ascii="仿宋" w:hAnsi="仿宋" w:eastAsia="仿宋" w:cs="Times New Roman"/>
          <w:sz w:val="24"/>
          <w:szCs w:val="28"/>
          <w:lang w:val="en-US" w:eastAsia="zh-CN"/>
        </w:rPr>
        <w:t>1）系统日常运维与安全保障负责智农A20移动端现有20余项功能模块、配套后台管理端日常运行保障，及时响应并处置业务线使用问题；</w:t>
      </w:r>
    </w:p>
    <w:p>
      <w:pPr>
        <w:numPr>
          <w:ilvl w:val="0"/>
          <w:numId w:val="0"/>
        </w:numPr>
        <w:spacing w:line="360" w:lineRule="auto"/>
        <w:ind w:leftChars="0" w:firstLine="420" w:firstLineChars="0"/>
        <w:rPr>
          <w:rFonts w:hint="eastAsia" w:ascii="仿宋" w:hAnsi="仿宋" w:eastAsia="仿宋" w:cs="Times New Roman"/>
          <w:sz w:val="24"/>
          <w:szCs w:val="28"/>
          <w:lang w:val="en-US" w:eastAsia="zh-CN"/>
        </w:rPr>
      </w:pPr>
      <w:r>
        <w:rPr>
          <w:rFonts w:hint="eastAsia" w:ascii="仿宋" w:hAnsi="仿宋" w:eastAsia="仿宋" w:cs="Times New Roman"/>
          <w:sz w:val="24"/>
          <w:szCs w:val="28"/>
          <w:lang w:val="en-US" w:eastAsia="zh-CN"/>
        </w:rPr>
        <w:t>2）按互联网安全管理规范定期开展渗透测试、漏洞修复、安全防护加固，落实客户隐私信息保护要求；</w:t>
      </w:r>
    </w:p>
    <w:p>
      <w:pPr>
        <w:spacing w:line="360" w:lineRule="auto"/>
        <w:ind w:firstLine="480" w:firstLineChars="200"/>
        <w:rPr>
          <w:rFonts w:hint="eastAsia" w:ascii="仿宋" w:hAnsi="仿宋" w:eastAsia="仿宋" w:cs="Times New Roman"/>
          <w:sz w:val="24"/>
          <w:szCs w:val="28"/>
          <w:lang w:val="en-US" w:eastAsia="zh-CN"/>
        </w:rPr>
      </w:pPr>
      <w:r>
        <w:rPr>
          <w:rFonts w:hint="eastAsia" w:ascii="仿宋" w:hAnsi="仿宋" w:eastAsia="仿宋" w:cs="Times New Roman"/>
          <w:sz w:val="24"/>
          <w:szCs w:val="28"/>
          <w:lang w:val="en-US" w:eastAsia="zh-CN"/>
        </w:rPr>
        <w:t>3）APP 版本持续迭代优化根据各业务部门需求完成 APP 版本迭代更新，优化现有业务操作流程、调整功能模块逻辑；完成新业务能力集成、交互体验优化、异常流程修复，持续匹配农险业务发展新场景需求。</w:t>
      </w:r>
    </w:p>
    <w:p>
      <w:pPr>
        <w:spacing w:line="360" w:lineRule="auto"/>
        <w:ind w:firstLine="482" w:firstLineChars="200"/>
        <w:rPr>
          <w:rFonts w:hint="eastAsia" w:ascii="仿宋" w:hAnsi="仿宋" w:eastAsia="仿宋" w:cs="Times New Roman"/>
          <w:b/>
          <w:bCs/>
          <w:sz w:val="24"/>
          <w:szCs w:val="28"/>
          <w:lang w:val="en-US" w:eastAsia="zh-CN"/>
        </w:rPr>
      </w:pPr>
      <w:r>
        <w:rPr>
          <w:rFonts w:hint="eastAsia" w:ascii="仿宋" w:hAnsi="仿宋" w:eastAsia="仿宋" w:cs="Times New Roman"/>
          <w:b/>
          <w:bCs/>
          <w:sz w:val="24"/>
          <w:szCs w:val="28"/>
          <w:lang w:val="en-US" w:eastAsia="zh-CN"/>
        </w:rPr>
        <w:t>（二）综合管理平台功能开发与存量运维</w:t>
      </w:r>
    </w:p>
    <w:p>
      <w:pPr>
        <w:spacing w:line="360" w:lineRule="auto"/>
        <w:ind w:firstLine="480" w:firstLineChars="200"/>
        <w:rPr>
          <w:rFonts w:hint="eastAsia" w:ascii="仿宋" w:hAnsi="仿宋" w:eastAsia="仿宋" w:cs="Times New Roman"/>
          <w:sz w:val="24"/>
          <w:szCs w:val="28"/>
          <w:lang w:val="en-US" w:eastAsia="zh-CN"/>
        </w:rPr>
      </w:pPr>
      <w:r>
        <w:rPr>
          <w:rFonts w:hint="eastAsia" w:ascii="仿宋" w:hAnsi="仿宋" w:eastAsia="仿宋" w:cs="Times New Roman"/>
          <w:sz w:val="24"/>
          <w:szCs w:val="28"/>
          <w:lang w:val="en-US" w:eastAsia="zh-CN"/>
        </w:rPr>
        <w:t>1）存量功能维护迭代，对平台现有 50 余项后台管理功能持续运维、bug 修复、流程微调，保障监管铃铛、风勘等存量管理模块稳定支撑各管理部门日常使用。</w:t>
      </w:r>
    </w:p>
    <w:p>
      <w:pPr>
        <w:spacing w:line="360" w:lineRule="auto"/>
        <w:ind w:firstLine="480" w:firstLineChars="200"/>
        <w:rPr>
          <w:rFonts w:hint="eastAsia" w:ascii="仿宋" w:hAnsi="仿宋" w:eastAsia="仿宋" w:cs="Times New Roman"/>
          <w:sz w:val="24"/>
          <w:szCs w:val="28"/>
          <w:lang w:val="en-US" w:eastAsia="zh-CN"/>
        </w:rPr>
      </w:pPr>
      <w:r>
        <w:rPr>
          <w:rFonts w:hint="eastAsia" w:ascii="仿宋" w:hAnsi="仿宋" w:eastAsia="仿宋" w:cs="Times New Roman"/>
          <w:sz w:val="24"/>
          <w:szCs w:val="28"/>
          <w:lang w:val="en-US" w:eastAsia="zh-CN"/>
        </w:rPr>
        <w:t>2）地块库系统（一期），涵盖内容如下，一是地块采集工具：基于 GIS 技术实现多源地块数据标准化处理、基于卫星底图人工测绘上图，搭建保单与地块自动匹配、校验体系，打通业务与地块数据联动；二是地块展示与公示：依据监管地块公示规范，实现地块信息可视化展示、自动生成标准化公示图；三是数据处理与报送：按全国地块库平台标准，分地块、业务双维度加工数据，自动生成 GIS 文件、业务文件，内置数据校验规则，实现数据打包、报送流程线上化。</w:t>
      </w:r>
    </w:p>
    <w:p>
      <w:pPr>
        <w:numPr>
          <w:ilvl w:val="0"/>
          <w:numId w:val="4"/>
        </w:numPr>
        <w:spacing w:line="360" w:lineRule="auto"/>
        <w:ind w:firstLine="480" w:firstLineChars="200"/>
        <w:rPr>
          <w:rFonts w:hint="eastAsia" w:ascii="仿宋" w:hAnsi="仿宋" w:eastAsia="仿宋" w:cs="Times New Roman"/>
          <w:sz w:val="24"/>
          <w:szCs w:val="28"/>
          <w:lang w:val="en-US" w:eastAsia="zh-CN"/>
        </w:rPr>
      </w:pPr>
      <w:r>
        <w:rPr>
          <w:rFonts w:hint="eastAsia" w:ascii="仿宋" w:hAnsi="仿宋" w:eastAsia="仿宋" w:cs="Times New Roman"/>
          <w:sz w:val="24"/>
          <w:szCs w:val="28"/>
          <w:lang w:val="en-US" w:eastAsia="zh-CN"/>
        </w:rPr>
        <w:t>制度库系统：统一管理内外部监管法规、公司内部制度；搭建多层级分类目录，支持分级查阅、关联检索、机构自主上传维护；实现制度新增修订审批、历史版本追溯；支持制度清单导出汇编。</w:t>
      </w:r>
    </w:p>
    <w:p>
      <w:pPr>
        <w:spacing w:line="360" w:lineRule="auto"/>
        <w:ind w:firstLine="480" w:firstLineChars="200"/>
        <w:rPr>
          <w:rFonts w:hint="eastAsia" w:ascii="仿宋" w:hAnsi="仿宋" w:eastAsia="仿宋" w:cs="Times New Roman"/>
          <w:sz w:val="24"/>
          <w:szCs w:val="28"/>
          <w:lang w:val="en-US" w:eastAsia="zh-CN"/>
        </w:rPr>
      </w:pPr>
      <w:r>
        <w:rPr>
          <w:rFonts w:hint="eastAsia" w:ascii="仿宋" w:hAnsi="仿宋" w:eastAsia="仿宋" w:cs="Times New Roman"/>
          <w:sz w:val="24"/>
          <w:szCs w:val="28"/>
          <w:lang w:val="en-US" w:eastAsia="zh-CN"/>
        </w:rPr>
        <w:t>4）效率督导平台：接入承保、理赔、公文、报销等系统数据，统计、可视化公示个人、机构业务办理时效；同时搭建基层意见建议督办闭环流程，覆盖录入、认领、处置、反馈全台账管理，实现业务效能常态化督导管控。</w:t>
      </w:r>
    </w:p>
    <w:p>
      <w:pPr>
        <w:spacing w:line="360" w:lineRule="auto"/>
        <w:ind w:firstLine="482" w:firstLineChars="200"/>
        <w:rPr>
          <w:rFonts w:hint="eastAsia" w:ascii="仿宋" w:hAnsi="仿宋" w:eastAsia="仿宋" w:cs="Times New Roman"/>
          <w:b/>
          <w:bCs/>
          <w:sz w:val="24"/>
          <w:szCs w:val="28"/>
          <w:lang w:val="en-US" w:eastAsia="zh-CN"/>
        </w:rPr>
      </w:pPr>
      <w:r>
        <w:rPr>
          <w:rFonts w:hint="eastAsia" w:ascii="仿宋" w:hAnsi="仿宋" w:eastAsia="仿宋" w:cs="Times New Roman"/>
          <w:b/>
          <w:bCs/>
          <w:sz w:val="24"/>
          <w:szCs w:val="28"/>
          <w:lang w:val="en-US" w:eastAsia="zh-CN"/>
        </w:rPr>
        <w:t>（三）系统架构维护与核心技术组件升级</w:t>
      </w:r>
    </w:p>
    <w:p>
      <w:pPr>
        <w:spacing w:line="360" w:lineRule="auto"/>
        <w:ind w:firstLine="480" w:firstLineChars="200"/>
        <w:rPr>
          <w:rFonts w:hint="eastAsia" w:ascii="仿宋" w:hAnsi="仿宋" w:eastAsia="仿宋" w:cs="Times New Roman"/>
          <w:sz w:val="24"/>
          <w:szCs w:val="28"/>
          <w:lang w:val="en-US" w:eastAsia="zh-CN"/>
        </w:rPr>
      </w:pPr>
      <w:r>
        <w:rPr>
          <w:rFonts w:hint="eastAsia" w:ascii="仿宋" w:hAnsi="仿宋" w:eastAsia="仿宋" w:cs="Times New Roman"/>
          <w:sz w:val="24"/>
          <w:szCs w:val="28"/>
          <w:lang w:val="en-US" w:eastAsia="zh-CN"/>
        </w:rPr>
        <w:t>1）微服务架构运维与性能调优：常态化巡检现有微服务集群运行状态，主动排查性能瓶颈、资源卡点；随业务、数据规模增长开展架构优化、资源弹性调配、业务逻辑重构，保障系统高并发、高稳定运行。</w:t>
      </w:r>
    </w:p>
    <w:p>
      <w:pPr>
        <w:spacing w:line="360" w:lineRule="auto"/>
        <w:ind w:firstLine="480" w:firstLineChars="200"/>
        <w:rPr>
          <w:rFonts w:hint="eastAsia" w:ascii="仿宋" w:hAnsi="仿宋" w:eastAsia="仿宋" w:cs="Times New Roman"/>
          <w:sz w:val="24"/>
          <w:szCs w:val="28"/>
          <w:lang w:val="en-US" w:eastAsia="zh-CN"/>
        </w:rPr>
      </w:pPr>
      <w:r>
        <w:rPr>
          <w:rFonts w:hint="eastAsia" w:ascii="仿宋" w:hAnsi="仿宋" w:eastAsia="仿宋" w:cs="Times New Roman"/>
          <w:sz w:val="24"/>
          <w:szCs w:val="28"/>
          <w:lang w:val="en-US" w:eastAsia="zh-CN"/>
        </w:rPr>
        <w:t>2）核心基础技术组件运维升级：负责文件服务、AI 基础识别能力、统一鉴权服务等底层组件日常故障排查、版本管控；结合业务技术需求完成组件迭代、适配改造、版本升级，保障上层 A20、管理平台业务稳定依赖。</w:t>
      </w:r>
    </w:p>
    <w:p>
      <w:pPr>
        <w:spacing w:line="360" w:lineRule="auto"/>
        <w:ind w:firstLine="482" w:firstLineChars="200"/>
        <w:rPr>
          <w:rFonts w:hint="eastAsia" w:ascii="仿宋" w:hAnsi="仿宋" w:eastAsia="仿宋" w:cs="Times New Roman"/>
          <w:b/>
          <w:bCs/>
          <w:sz w:val="24"/>
          <w:szCs w:val="28"/>
          <w:lang w:val="en-US" w:eastAsia="zh-CN"/>
        </w:rPr>
      </w:pPr>
      <w:r>
        <w:rPr>
          <w:rFonts w:hint="eastAsia" w:ascii="仿宋" w:hAnsi="仿宋" w:eastAsia="仿宋" w:cs="Times New Roman"/>
          <w:b/>
          <w:bCs/>
          <w:sz w:val="24"/>
          <w:szCs w:val="28"/>
          <w:lang w:val="en-US" w:eastAsia="zh-CN"/>
        </w:rPr>
        <w:t>（四）配套交付与服务范围</w:t>
      </w:r>
    </w:p>
    <w:p>
      <w:pPr>
        <w:spacing w:line="360" w:lineRule="auto"/>
        <w:ind w:firstLine="480" w:firstLineChars="200"/>
        <w:rPr>
          <w:rFonts w:hint="eastAsia" w:ascii="仿宋" w:hAnsi="仿宋" w:eastAsia="仿宋" w:cs="Times New Roman"/>
          <w:sz w:val="24"/>
          <w:szCs w:val="28"/>
          <w:lang w:val="en-US" w:eastAsia="zh-CN"/>
        </w:rPr>
      </w:pPr>
      <w:r>
        <w:rPr>
          <w:rFonts w:hint="eastAsia" w:ascii="仿宋" w:hAnsi="仿宋" w:eastAsia="仿宋" w:cs="Times New Roman"/>
          <w:sz w:val="24"/>
          <w:szCs w:val="28"/>
          <w:lang w:val="en-US" w:eastAsia="zh-CN"/>
        </w:rPr>
        <w:t>1）全周期需求调研、方案设计、开发编码、功能测试、上线部署，同时相关过程流程记录文档；</w:t>
      </w:r>
    </w:p>
    <w:p>
      <w:pPr>
        <w:spacing w:line="360" w:lineRule="auto"/>
        <w:ind w:firstLine="480" w:firstLineChars="200"/>
        <w:rPr>
          <w:rFonts w:hint="eastAsia" w:ascii="仿宋" w:hAnsi="仿宋" w:eastAsia="仿宋" w:cs="Times New Roman"/>
          <w:sz w:val="24"/>
          <w:szCs w:val="28"/>
          <w:lang w:val="en-US" w:eastAsia="zh-CN"/>
        </w:rPr>
      </w:pPr>
      <w:r>
        <w:rPr>
          <w:rFonts w:hint="eastAsia" w:ascii="仿宋" w:hAnsi="仿宋" w:eastAsia="仿宋" w:cs="Times New Roman"/>
          <w:sz w:val="24"/>
          <w:szCs w:val="28"/>
          <w:lang w:val="en-US" w:eastAsia="zh-CN"/>
        </w:rPr>
        <w:t>2）系统操作手册、运维手册、接口文档、数据库设计文档等全套技术资料交付；</w:t>
      </w:r>
    </w:p>
    <w:p>
      <w:pPr>
        <w:spacing w:line="360" w:lineRule="auto"/>
        <w:ind w:firstLine="480" w:firstLineChars="200"/>
        <w:rPr>
          <w:rFonts w:hint="eastAsia" w:ascii="仿宋" w:hAnsi="仿宋" w:eastAsia="仿宋" w:cs="Times New Roman"/>
          <w:sz w:val="24"/>
          <w:szCs w:val="28"/>
          <w:lang w:val="en-US" w:eastAsia="zh-CN"/>
        </w:rPr>
      </w:pPr>
      <w:r>
        <w:rPr>
          <w:rFonts w:hint="eastAsia" w:ascii="仿宋" w:hAnsi="仿宋" w:eastAsia="仿宋" w:cs="Times New Roman"/>
          <w:sz w:val="24"/>
          <w:szCs w:val="28"/>
          <w:lang w:val="en-US" w:eastAsia="zh-CN"/>
        </w:rPr>
        <w:t>3）上线后业务人员操作培训、运维人员技术培训；</w:t>
      </w:r>
    </w:p>
    <w:p>
      <w:pPr>
        <w:numPr>
          <w:ilvl w:val="0"/>
          <w:numId w:val="3"/>
        </w:numPr>
        <w:spacing w:line="360" w:lineRule="auto"/>
        <w:outlineLvl w:val="0"/>
        <w:rPr>
          <w:rFonts w:hint="default" w:ascii="黑体" w:hAnsi="黑体" w:eastAsia="黑体" w:cs="黑体"/>
          <w:b/>
          <w:sz w:val="24"/>
          <w:lang w:val="en-US" w:eastAsia="zh-CN"/>
        </w:rPr>
      </w:pPr>
      <w:r>
        <w:rPr>
          <w:rFonts w:hint="eastAsia" w:ascii="黑体" w:hAnsi="黑体" w:eastAsia="黑体" w:cs="黑体"/>
          <w:b/>
          <w:sz w:val="24"/>
          <w:lang w:val="en-US" w:eastAsia="zh-CN"/>
        </w:rPr>
        <w:t>服务方式</w:t>
      </w:r>
    </w:p>
    <w:p>
      <w:pPr>
        <w:spacing w:line="360" w:lineRule="auto"/>
        <w:ind w:firstLine="480" w:firstLineChars="200"/>
        <w:rPr>
          <w:rFonts w:hint="default" w:ascii="仿宋" w:hAnsi="仿宋" w:eastAsia="仿宋" w:cs="Times New Roman"/>
          <w:sz w:val="24"/>
          <w:szCs w:val="28"/>
          <w:lang w:val="en-US" w:eastAsia="zh-CN"/>
        </w:rPr>
      </w:pPr>
      <w:r>
        <w:rPr>
          <w:rFonts w:hint="eastAsia" w:ascii="仿宋" w:hAnsi="仿宋" w:eastAsia="仿宋" w:cs="Times New Roman"/>
          <w:sz w:val="24"/>
          <w:szCs w:val="28"/>
          <w:lang w:val="en-US" w:eastAsia="zh-CN"/>
        </w:rPr>
        <w:t>本项目采购合同期内，提供驻场，接受甲方管理，按甲方要求开展工作。</w:t>
      </w:r>
    </w:p>
    <w:p>
      <w:pPr>
        <w:numPr>
          <w:ilvl w:val="0"/>
          <w:numId w:val="3"/>
        </w:numPr>
        <w:spacing w:line="360" w:lineRule="auto"/>
        <w:outlineLvl w:val="0"/>
        <w:rPr>
          <w:rFonts w:ascii="黑体" w:hAnsi="黑体" w:eastAsia="黑体" w:cs="黑体"/>
          <w:b/>
          <w:sz w:val="24"/>
        </w:rPr>
      </w:pPr>
      <w:r>
        <w:rPr>
          <w:rFonts w:hint="eastAsia" w:ascii="黑体" w:hAnsi="黑体" w:eastAsia="黑体" w:cs="黑体"/>
          <w:b/>
          <w:sz w:val="24"/>
          <w:lang w:val="en-US" w:eastAsia="zh-CN"/>
        </w:rPr>
        <w:t>项目人员基本要求</w:t>
      </w:r>
    </w:p>
    <w:p>
      <w:pPr>
        <w:spacing w:line="360" w:lineRule="auto"/>
        <w:ind w:firstLine="480" w:firstLineChars="200"/>
        <w:rPr>
          <w:rFonts w:hint="default" w:ascii="仿宋" w:hAnsi="仿宋" w:eastAsia="仿宋" w:cs="仿宋"/>
          <w:sz w:val="24"/>
          <w:lang w:val="en-US" w:eastAsia="zh-CN"/>
        </w:rPr>
      </w:pPr>
      <w:r>
        <w:rPr>
          <w:rFonts w:hint="eastAsia" w:ascii="仿宋" w:hAnsi="仿宋" w:eastAsia="仿宋" w:cs="仿宋"/>
          <w:sz w:val="24"/>
          <w:lang w:val="en-US" w:eastAsia="zh-CN"/>
        </w:rPr>
        <w:t>项目经理：</w:t>
      </w:r>
    </w:p>
    <w:p>
      <w:pPr>
        <w:spacing w:line="360" w:lineRule="auto"/>
        <w:ind w:firstLine="480" w:firstLineChars="200"/>
        <w:rPr>
          <w:rFonts w:ascii="黑体" w:hAnsi="黑体" w:eastAsia="黑体" w:cs="黑体"/>
          <w:b/>
          <w:sz w:val="24"/>
        </w:rPr>
      </w:pPr>
      <w:r>
        <w:rPr>
          <w:rFonts w:hint="eastAsia" w:ascii="仿宋" w:hAnsi="仿宋" w:eastAsia="仿宋" w:cs="仿宋"/>
          <w:sz w:val="24"/>
          <w:lang w:val="en-US" w:eastAsia="zh-CN"/>
        </w:rPr>
        <w:t>（1）熟悉农险核心业务流程，如承保、理赔、展业流程等；</w:t>
      </w:r>
    </w:p>
    <w:p>
      <w:pPr>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（2）有5年以上农险项目工作经验，参与项目需求分析及开发支持；</w:t>
      </w:r>
    </w:p>
    <w:p>
      <w:pPr>
        <w:spacing w:line="360" w:lineRule="auto"/>
        <w:ind w:firstLine="480" w:firstLineChars="200"/>
        <w:rPr>
          <w:rFonts w:hint="default" w:ascii="仿宋" w:hAnsi="仿宋" w:eastAsia="仿宋" w:cs="仿宋"/>
          <w:sz w:val="24"/>
          <w:lang w:val="en-US" w:eastAsia="zh-CN"/>
        </w:rPr>
      </w:pPr>
      <w:r>
        <w:rPr>
          <w:rFonts w:hint="eastAsia" w:ascii="仿宋" w:hAnsi="仿宋" w:eastAsia="仿宋" w:cs="仿宋"/>
          <w:sz w:val="24"/>
          <w:lang w:val="en-US" w:eastAsia="zh-CN"/>
        </w:rPr>
        <w:t>（3）有大型系统环境搭建经历，熟悉主流移动应用平台；</w:t>
      </w:r>
    </w:p>
    <w:p>
      <w:pPr>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（4）掌握金融保险业对信息及数据安全相关要求；</w:t>
      </w:r>
    </w:p>
    <w:p>
      <w:pPr>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移动端开发人员：</w:t>
      </w:r>
    </w:p>
    <w:p>
      <w:pPr>
        <w:spacing w:line="360" w:lineRule="auto"/>
        <w:ind w:firstLine="480" w:firstLineChars="200"/>
        <w:rPr>
          <w:rFonts w:ascii="黑体" w:hAnsi="黑体" w:eastAsia="黑体" w:cs="黑体"/>
          <w:b/>
          <w:sz w:val="24"/>
        </w:rPr>
      </w:pPr>
      <w:r>
        <w:rPr>
          <w:rFonts w:hint="eastAsia" w:ascii="仿宋" w:hAnsi="仿宋" w:eastAsia="仿宋" w:cs="仿宋"/>
          <w:sz w:val="24"/>
          <w:lang w:val="en-US" w:eastAsia="zh-CN"/>
        </w:rPr>
        <w:t>（1）熟悉农险核心业务流程，如承保、理赔、展业流程等；</w:t>
      </w:r>
    </w:p>
    <w:p>
      <w:pPr>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（2）工作5年以上，有充分的移动端开发经验；</w:t>
      </w:r>
    </w:p>
    <w:p>
      <w:pPr>
        <w:spacing w:line="360" w:lineRule="auto"/>
        <w:ind w:firstLine="480" w:firstLineChars="200"/>
        <w:rPr>
          <w:rFonts w:hint="default" w:ascii="仿宋" w:hAnsi="仿宋" w:eastAsia="仿宋" w:cs="仿宋"/>
          <w:sz w:val="24"/>
          <w:lang w:val="en-US" w:eastAsia="zh-CN"/>
        </w:rPr>
      </w:pPr>
      <w:r>
        <w:rPr>
          <w:rFonts w:hint="eastAsia" w:ascii="仿宋" w:hAnsi="仿宋" w:eastAsia="仿宋" w:cs="仿宋"/>
          <w:sz w:val="24"/>
          <w:lang w:val="en-US" w:eastAsia="zh-CN"/>
        </w:rPr>
        <w:t>（3）熟悉主流移动应用开发平台，熟练掌握移动端开发相关技术栈；</w:t>
      </w:r>
    </w:p>
    <w:p>
      <w:pPr>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（4）掌握金融保险业对信息及数据安全相关要求；</w:t>
      </w:r>
    </w:p>
    <w:p>
      <w:pPr>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前后端开发人员：</w:t>
      </w:r>
    </w:p>
    <w:p>
      <w:pPr>
        <w:spacing w:line="360" w:lineRule="auto"/>
        <w:ind w:firstLine="480" w:firstLineChars="200"/>
        <w:rPr>
          <w:rFonts w:ascii="黑体" w:hAnsi="黑体" w:eastAsia="黑体" w:cs="黑体"/>
          <w:b/>
          <w:sz w:val="24"/>
        </w:rPr>
      </w:pPr>
      <w:r>
        <w:rPr>
          <w:rFonts w:hint="eastAsia" w:ascii="仿宋" w:hAnsi="仿宋" w:eastAsia="仿宋" w:cs="仿宋"/>
          <w:sz w:val="24"/>
          <w:lang w:val="en-US" w:eastAsia="zh-CN"/>
        </w:rPr>
        <w:t>（1）熟悉农险核心业务流程，如承保、理赔、展业流程等；</w:t>
      </w:r>
    </w:p>
    <w:p>
      <w:pPr>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（2）工作3年以上，有充分的前端获后端开发经验；</w:t>
      </w:r>
    </w:p>
    <w:p>
      <w:pPr>
        <w:spacing w:line="360" w:lineRule="auto"/>
        <w:ind w:firstLine="480" w:firstLineChars="200"/>
        <w:rPr>
          <w:rFonts w:hint="default" w:ascii="仿宋" w:hAnsi="仿宋" w:eastAsia="仿宋" w:cs="仿宋"/>
          <w:sz w:val="24"/>
          <w:lang w:val="en-US" w:eastAsia="zh-CN"/>
        </w:rPr>
      </w:pPr>
      <w:r>
        <w:rPr>
          <w:rFonts w:hint="eastAsia" w:ascii="仿宋" w:hAnsi="仿宋" w:eastAsia="仿宋" w:cs="仿宋"/>
          <w:sz w:val="24"/>
          <w:lang w:val="en-US" w:eastAsia="zh-CN"/>
        </w:rPr>
        <w:t>（3）熟练掌握以Java为主的开发体系或以Vue为主的开发体系；</w:t>
      </w:r>
    </w:p>
    <w:p>
      <w:pPr>
        <w:spacing w:line="360" w:lineRule="auto"/>
        <w:ind w:firstLine="480" w:firstLineChars="200"/>
        <w:rPr>
          <w:rFonts w:hint="default" w:ascii="仿宋" w:hAnsi="仿宋" w:eastAsia="仿宋" w:cs="仿宋"/>
          <w:sz w:val="24"/>
          <w:lang w:val="en-US" w:eastAsia="zh-CN"/>
        </w:rPr>
      </w:pPr>
      <w:r>
        <w:rPr>
          <w:rFonts w:hint="eastAsia" w:ascii="仿宋" w:hAnsi="仿宋" w:eastAsia="仿宋" w:cs="仿宋"/>
          <w:sz w:val="24"/>
          <w:lang w:val="en-US" w:eastAsia="zh-CN"/>
        </w:rPr>
        <w:t>（4）掌握金融保险业对信息及数据安全相关要求；</w:t>
      </w:r>
    </w:p>
    <w:p>
      <w:pPr>
        <w:spacing w:line="360" w:lineRule="auto"/>
        <w:ind w:firstLine="480" w:firstLineChars="200"/>
        <w:rPr>
          <w:rFonts w:hint="eastAsia" w:ascii="仿宋" w:hAnsi="仿宋" w:eastAsia="仿宋" w:cs="Times New Roman"/>
          <w:sz w:val="24"/>
          <w:szCs w:val="28"/>
          <w:lang w:val="en-US" w:eastAsia="zh-CN"/>
        </w:rPr>
      </w:pPr>
      <w:r>
        <w:rPr>
          <w:rFonts w:hint="eastAsia" w:ascii="仿宋" w:hAnsi="仿宋" w:eastAsia="仿宋" w:cs="Times New Roman"/>
          <w:sz w:val="24"/>
          <w:szCs w:val="28"/>
          <w:lang w:val="en-US" w:eastAsia="zh-CN"/>
        </w:rPr>
        <w:t>项目服务外包人员的资质证明应在驻场前通过我司验证。</w:t>
      </w:r>
      <w:bookmarkStart w:id="0" w:name="_GoBack"/>
      <w:bookmarkEnd w:id="0"/>
    </w:p>
    <w:p>
      <w:pPr>
        <w:spacing w:line="360" w:lineRule="auto"/>
        <w:ind w:firstLine="480" w:firstLineChars="200"/>
        <w:rPr>
          <w:rFonts w:hint="eastAsia" w:ascii="仿宋" w:hAnsi="仿宋" w:eastAsia="仿宋" w:cs="Times New Roman"/>
          <w:sz w:val="24"/>
          <w:szCs w:val="28"/>
          <w:lang w:val="en-US" w:eastAsia="zh-CN"/>
        </w:rPr>
      </w:pPr>
      <w:r>
        <w:rPr>
          <w:rFonts w:hint="eastAsia" w:ascii="仿宋" w:hAnsi="仿宋" w:eastAsia="仿宋" w:cs="Times New Roman"/>
          <w:sz w:val="24"/>
          <w:szCs w:val="28"/>
          <w:lang w:val="en-US" w:eastAsia="zh-CN"/>
        </w:rPr>
        <w:t>本项目产生的所有工作成果，包括但不限于定制开发的源代码、技术文档、设计方案等，其知识产权（包括著作权、专利申请权等）自产生之日起，全部、排他性地归属于太安农险。</w:t>
      </w:r>
    </w:p>
    <w:p>
      <w:pPr>
        <w:numPr>
          <w:ilvl w:val="0"/>
          <w:numId w:val="2"/>
        </w:numPr>
        <w:spacing w:line="360" w:lineRule="auto"/>
        <w:ind w:firstLine="472" w:firstLineChars="196"/>
        <w:outlineLvl w:val="0"/>
        <w:rPr>
          <w:rFonts w:ascii="黑体" w:hAnsi="黑体" w:eastAsia="黑体" w:cs="黑体"/>
          <w:b/>
          <w:sz w:val="24"/>
        </w:rPr>
      </w:pPr>
      <w:r>
        <w:rPr>
          <w:rFonts w:hint="eastAsia" w:ascii="黑体" w:hAnsi="黑体" w:eastAsia="黑体" w:cs="黑体"/>
          <w:b/>
          <w:sz w:val="24"/>
        </w:rPr>
        <w:t>服务要求</w:t>
      </w:r>
    </w:p>
    <w:p>
      <w:pPr>
        <w:spacing w:line="360" w:lineRule="auto"/>
        <w:ind w:firstLine="480" w:firstLineChars="200"/>
        <w:rPr>
          <w:rFonts w:ascii="仿宋" w:hAnsi="仿宋" w:eastAsia="仿宋" w:cs="仿宋"/>
          <w:sz w:val="24"/>
        </w:rPr>
      </w:pPr>
      <w:r>
        <w:rPr>
          <w:rFonts w:hint="eastAsia" w:ascii="仿宋" w:hAnsi="仿宋" w:eastAsia="仿宋" w:cs="仿宋"/>
          <w:sz w:val="24"/>
        </w:rPr>
        <w:t>1.本次</w:t>
      </w:r>
      <w:r>
        <w:rPr>
          <w:rFonts w:hint="eastAsia" w:ascii="仿宋" w:hAnsi="仿宋" w:eastAsia="仿宋" w:cs="仿宋"/>
          <w:sz w:val="24"/>
          <w:lang w:val="en-US" w:eastAsia="zh-CN"/>
        </w:rPr>
        <w:t>项目</w:t>
      </w:r>
      <w:r>
        <w:rPr>
          <w:rFonts w:hint="eastAsia" w:ascii="仿宋" w:hAnsi="仿宋" w:eastAsia="仿宋" w:cs="仿宋"/>
          <w:sz w:val="24"/>
        </w:rPr>
        <w:t>要求项目组成员必须遵守太安农险的</w:t>
      </w:r>
      <w:r>
        <w:rPr>
          <w:rFonts w:hint="eastAsia" w:ascii="仿宋" w:hAnsi="仿宋" w:eastAsia="仿宋" w:cs="仿宋"/>
          <w:sz w:val="24"/>
          <w:lang w:val="en-US" w:eastAsia="zh-CN"/>
        </w:rPr>
        <w:t>外包</w:t>
      </w:r>
      <w:r>
        <w:rPr>
          <w:rFonts w:hint="eastAsia" w:ascii="仿宋" w:hAnsi="仿宋" w:eastAsia="仿宋" w:cs="仿宋"/>
          <w:sz w:val="24"/>
        </w:rPr>
        <w:t>人员管理办法；</w:t>
      </w:r>
    </w:p>
    <w:p>
      <w:pPr>
        <w:spacing w:line="360" w:lineRule="auto"/>
        <w:ind w:firstLine="480" w:firstLineChars="200"/>
        <w:rPr>
          <w:rFonts w:ascii="仿宋" w:hAnsi="仿宋" w:eastAsia="仿宋" w:cs="仿宋"/>
          <w:sz w:val="24"/>
        </w:rPr>
      </w:pPr>
      <w:r>
        <w:rPr>
          <w:rFonts w:hint="eastAsia" w:ascii="仿宋" w:hAnsi="仿宋" w:eastAsia="仿宋" w:cs="仿宋"/>
          <w:sz w:val="24"/>
        </w:rPr>
        <w:t>2.供应商需具有提供符合规格的项目实施能力，承诺按时、保质完成项目及项目验收，并在投标文件中明确项目服务的质量及安全保密承诺；</w:t>
      </w:r>
    </w:p>
    <w:p>
      <w:pPr>
        <w:spacing w:line="360" w:lineRule="auto"/>
        <w:ind w:firstLine="480" w:firstLineChars="200"/>
        <w:rPr>
          <w:rFonts w:ascii="仿宋" w:hAnsi="仿宋" w:eastAsia="仿宋" w:cs="仿宋"/>
          <w:sz w:val="24"/>
        </w:rPr>
      </w:pPr>
      <w:r>
        <w:rPr>
          <w:rFonts w:hint="eastAsia" w:ascii="仿宋" w:hAnsi="仿宋" w:eastAsia="仿宋" w:cs="仿宋"/>
          <w:sz w:val="24"/>
        </w:rPr>
        <w:t>3.供应商需具有提供完善的售后服务的能力；</w:t>
      </w:r>
    </w:p>
    <w:p>
      <w:pPr>
        <w:spacing w:line="360" w:lineRule="auto"/>
        <w:ind w:firstLine="480" w:firstLineChars="200"/>
        <w:rPr>
          <w:rFonts w:ascii="仿宋" w:hAnsi="仿宋" w:eastAsia="仿宋" w:cs="仿宋"/>
          <w:sz w:val="24"/>
        </w:rPr>
      </w:pPr>
      <w:r>
        <w:rPr>
          <w:rFonts w:hint="eastAsia" w:ascii="仿宋" w:hAnsi="仿宋" w:eastAsia="仿宋" w:cs="仿宋"/>
          <w:sz w:val="24"/>
        </w:rPr>
        <w:t>4.供应商需提供多种技术支持手段，如电话支持、邮件支持、现场支持等；</w:t>
      </w:r>
    </w:p>
    <w:p>
      <w:pPr>
        <w:spacing w:line="360" w:lineRule="auto"/>
        <w:ind w:firstLine="480" w:firstLineChars="200"/>
        <w:rPr>
          <w:rFonts w:ascii="仿宋" w:hAnsi="仿宋" w:eastAsia="仿宋" w:cs="仿宋"/>
          <w:sz w:val="24"/>
        </w:rPr>
      </w:pPr>
      <w:r>
        <w:rPr>
          <w:rFonts w:hint="eastAsia" w:ascii="仿宋" w:hAnsi="仿宋" w:eastAsia="仿宋"/>
          <w:sz w:val="24"/>
        </w:rPr>
        <w:t>5.在项目实施过程中，</w:t>
      </w:r>
      <w:r>
        <w:rPr>
          <w:rFonts w:hint="eastAsia" w:ascii="仿宋" w:hAnsi="仿宋" w:eastAsia="仿宋" w:cs="仿宋"/>
          <w:sz w:val="24"/>
        </w:rPr>
        <w:t>供应商</w:t>
      </w:r>
      <w:r>
        <w:rPr>
          <w:rFonts w:hint="eastAsia" w:ascii="仿宋" w:hAnsi="仿宋" w:eastAsia="仿宋"/>
          <w:sz w:val="24"/>
        </w:rPr>
        <w:t>必须积极服从、配合我方功能调试、上线工作的安排及管理；</w:t>
      </w:r>
      <w:r>
        <w:rPr>
          <w:rFonts w:hint="eastAsia" w:ascii="仿宋" w:hAnsi="仿宋" w:eastAsia="仿宋" w:cs="仿宋"/>
          <w:sz w:val="24"/>
        </w:rPr>
        <w:t>供应商</w:t>
      </w:r>
      <w:r>
        <w:rPr>
          <w:rFonts w:hint="eastAsia" w:ascii="仿宋" w:hAnsi="仿宋" w:eastAsia="仿宋"/>
          <w:sz w:val="24"/>
        </w:rPr>
        <w:t>应分阶段提交有关文档，文档达到要求后由我公司验收确认；</w:t>
      </w:r>
    </w:p>
    <w:p>
      <w:pPr>
        <w:spacing w:line="360" w:lineRule="auto"/>
        <w:ind w:firstLine="480" w:firstLineChars="200"/>
        <w:rPr>
          <w:rFonts w:hint="eastAsia" w:ascii="仿宋" w:hAnsi="仿宋" w:eastAsia="仿宋"/>
          <w:sz w:val="24"/>
          <w:lang w:eastAsia="zh-CN"/>
        </w:rPr>
      </w:pPr>
      <w:r>
        <w:rPr>
          <w:rFonts w:hint="eastAsia" w:ascii="仿宋" w:hAnsi="仿宋" w:eastAsia="仿宋"/>
          <w:sz w:val="24"/>
        </w:rPr>
        <w:t>6.</w:t>
      </w:r>
      <w:r>
        <w:rPr>
          <w:rFonts w:hint="eastAsia" w:ascii="仿宋" w:hAnsi="仿宋" w:eastAsia="仿宋" w:cs="仿宋"/>
          <w:sz w:val="24"/>
        </w:rPr>
        <w:t>供应商</w:t>
      </w:r>
      <w:r>
        <w:rPr>
          <w:rFonts w:hint="eastAsia" w:ascii="仿宋" w:hAnsi="仿宋" w:eastAsia="仿宋"/>
          <w:sz w:val="24"/>
        </w:rPr>
        <w:t>应根据我方的标准及要求，负责做好项目后期资料的整理及我方人员的培训工作</w:t>
      </w:r>
      <w:r>
        <w:rPr>
          <w:rFonts w:hint="eastAsia" w:ascii="仿宋" w:hAnsi="仿宋" w:eastAsia="仿宋"/>
          <w:sz w:val="24"/>
          <w:lang w:eastAsia="zh-CN"/>
        </w:rPr>
        <w:t>；</w:t>
      </w:r>
    </w:p>
    <w:p>
      <w:pPr>
        <w:spacing w:line="360" w:lineRule="auto"/>
        <w:ind w:firstLine="480" w:firstLineChars="200"/>
        <w:rPr>
          <w:rFonts w:ascii="仿宋" w:hAnsi="仿宋" w:eastAsia="仿宋"/>
          <w:sz w:val="24"/>
        </w:rPr>
      </w:pPr>
      <w:r>
        <w:rPr>
          <w:rFonts w:hint="eastAsia" w:ascii="仿宋" w:hAnsi="仿宋" w:eastAsia="仿宋"/>
          <w:sz w:val="24"/>
        </w:rPr>
        <w:t>7.供应商须保证对项目中所提供软件提供至少</w:t>
      </w:r>
      <w:r>
        <w:rPr>
          <w:rFonts w:hint="eastAsia" w:ascii="仿宋" w:hAnsi="仿宋" w:eastAsia="仿宋"/>
          <w:sz w:val="24"/>
          <w:lang w:val="en-US" w:eastAsia="zh-CN"/>
        </w:rPr>
        <w:t>1年</w:t>
      </w:r>
      <w:r>
        <w:rPr>
          <w:rFonts w:hint="eastAsia" w:ascii="仿宋" w:hAnsi="仿宋" w:eastAsia="仿宋"/>
          <w:sz w:val="24"/>
        </w:rPr>
        <w:t>原厂的免费维保及技术支持服务。同时列明其后的服务年费用报价，供甲方参考。</w:t>
      </w:r>
    </w:p>
    <w:p>
      <w:pPr>
        <w:numPr>
          <w:ilvl w:val="0"/>
          <w:numId w:val="2"/>
        </w:numPr>
        <w:spacing w:line="360" w:lineRule="auto"/>
        <w:ind w:firstLine="472" w:firstLineChars="196"/>
        <w:outlineLvl w:val="0"/>
        <w:rPr>
          <w:rFonts w:ascii="黑体" w:hAnsi="黑体" w:eastAsia="黑体" w:cs="黑体"/>
          <w:b/>
          <w:sz w:val="24"/>
        </w:rPr>
      </w:pPr>
      <w:r>
        <w:rPr>
          <w:rFonts w:hint="eastAsia" w:ascii="黑体" w:hAnsi="黑体" w:eastAsia="黑体" w:cs="黑体"/>
          <w:b/>
          <w:sz w:val="24"/>
          <w:lang w:val="en-US" w:eastAsia="zh-CN"/>
        </w:rPr>
        <w:t>项目周期</w:t>
      </w:r>
    </w:p>
    <w:p>
      <w:pPr>
        <w:spacing w:line="360" w:lineRule="auto"/>
        <w:ind w:firstLine="480" w:firstLineChars="200"/>
        <w:rPr>
          <w:rFonts w:hint="default" w:ascii="仿宋" w:hAnsi="仿宋" w:eastAsia="仿宋" w:cs="仿宋"/>
          <w:sz w:val="24"/>
          <w:lang w:val="en-US" w:eastAsia="zh-CN"/>
        </w:rPr>
      </w:pPr>
      <w:r>
        <w:rPr>
          <w:rFonts w:hint="eastAsia" w:ascii="仿宋" w:hAnsi="仿宋" w:eastAsia="仿宋" w:cs="仿宋"/>
          <w:sz w:val="24"/>
        </w:rPr>
        <w:t>本项目自采购合同签订之日起至</w:t>
      </w:r>
      <w:r>
        <w:rPr>
          <w:rFonts w:hint="eastAsia" w:ascii="仿宋" w:hAnsi="仿宋" w:eastAsia="仿宋" w:cs="仿宋"/>
          <w:sz w:val="24"/>
          <w:lang w:val="en-US" w:eastAsia="zh-CN"/>
        </w:rPr>
        <w:t>合同约定终止之日</w:t>
      </w:r>
      <w:r>
        <w:rPr>
          <w:rFonts w:hint="eastAsia" w:ascii="仿宋" w:hAnsi="仿宋" w:eastAsia="仿宋" w:cs="仿宋"/>
          <w:sz w:val="24"/>
        </w:rPr>
        <w:t>完成功能开发、测试和上线。</w:t>
      </w:r>
    </w:p>
    <w:p>
      <w:pPr>
        <w:numPr>
          <w:ilvl w:val="0"/>
          <w:numId w:val="2"/>
        </w:numPr>
        <w:spacing w:line="360" w:lineRule="auto"/>
        <w:ind w:firstLine="472" w:firstLineChars="196"/>
        <w:outlineLvl w:val="0"/>
        <w:rPr>
          <w:rFonts w:hint="eastAsia" w:ascii="黑体" w:hAnsi="黑体" w:eastAsia="黑体" w:cs="黑体"/>
          <w:b/>
          <w:sz w:val="24"/>
          <w:lang w:val="en-US" w:eastAsia="zh-CN"/>
        </w:rPr>
      </w:pPr>
      <w:r>
        <w:rPr>
          <w:rFonts w:hint="eastAsia" w:ascii="黑体" w:hAnsi="黑体" w:eastAsia="黑体" w:cs="黑体"/>
          <w:b/>
          <w:sz w:val="24"/>
          <w:lang w:val="en-US" w:eastAsia="zh-CN"/>
        </w:rPr>
        <w:t>竞价供应商资格要求</w:t>
      </w:r>
    </w:p>
    <w:p>
      <w:pPr>
        <w:spacing w:line="360" w:lineRule="auto"/>
        <w:ind w:firstLine="480" w:firstLineChars="200"/>
        <w:rPr>
          <w:rFonts w:hint="eastAsia" w:ascii="仿宋" w:hAnsi="仿宋" w:eastAsia="仿宋"/>
          <w:sz w:val="24"/>
          <w:lang w:eastAsia="zh-CN"/>
        </w:rPr>
      </w:pPr>
      <w:r>
        <w:rPr>
          <w:rFonts w:hint="eastAsia" w:ascii="仿宋" w:hAnsi="仿宋" w:eastAsia="仿宋"/>
          <w:sz w:val="24"/>
        </w:rPr>
        <w:t>1.</w:t>
      </w:r>
      <w:r>
        <w:rPr>
          <w:rFonts w:hint="eastAsia" w:ascii="仿宋" w:hAnsi="仿宋" w:eastAsia="仿宋"/>
          <w:sz w:val="24"/>
          <w:lang w:val="en-US" w:eastAsia="zh-CN"/>
        </w:rPr>
        <w:t>供应</w:t>
      </w:r>
      <w:r>
        <w:rPr>
          <w:rFonts w:hint="eastAsia" w:ascii="仿宋" w:hAnsi="仿宋" w:eastAsia="仿宋"/>
          <w:sz w:val="24"/>
        </w:rPr>
        <w:t>商必须是在中华人民共和国合法注册和按时进行年检的企业，具有独立承担民事责任的能力，具有工商营业执照、税务登记证、企业组织代码证；</w:t>
      </w:r>
    </w:p>
    <w:p>
      <w:pPr>
        <w:spacing w:line="360" w:lineRule="auto"/>
        <w:ind w:firstLine="480" w:firstLineChars="200"/>
        <w:rPr>
          <w:rFonts w:hint="eastAsia" w:ascii="仿宋" w:hAnsi="仿宋" w:eastAsia="仿宋"/>
          <w:sz w:val="24"/>
          <w:lang w:eastAsia="zh-CN"/>
        </w:rPr>
      </w:pPr>
      <w:r>
        <w:rPr>
          <w:rFonts w:hint="eastAsia" w:ascii="仿宋" w:hAnsi="仿宋" w:eastAsia="仿宋"/>
          <w:sz w:val="24"/>
        </w:rPr>
        <w:t>2.</w:t>
      </w:r>
      <w:r>
        <w:rPr>
          <w:rFonts w:hint="eastAsia" w:ascii="仿宋" w:hAnsi="仿宋" w:eastAsia="仿宋"/>
          <w:sz w:val="24"/>
          <w:lang w:val="en-US" w:eastAsia="zh-CN"/>
        </w:rPr>
        <w:t>供应</w:t>
      </w:r>
      <w:r>
        <w:rPr>
          <w:rFonts w:hint="eastAsia" w:ascii="仿宋" w:hAnsi="仿宋" w:eastAsia="仿宋"/>
          <w:sz w:val="24"/>
        </w:rPr>
        <w:t>商企业成立</w:t>
      </w:r>
      <w:r>
        <w:rPr>
          <w:rFonts w:hint="eastAsia" w:ascii="仿宋" w:hAnsi="仿宋" w:eastAsia="仿宋"/>
          <w:sz w:val="24"/>
          <w:lang w:val="en-US" w:eastAsia="zh-CN"/>
        </w:rPr>
        <w:t>10</w:t>
      </w:r>
      <w:r>
        <w:rPr>
          <w:rFonts w:hint="eastAsia" w:ascii="仿宋" w:hAnsi="仿宋" w:eastAsia="仿宋"/>
          <w:sz w:val="24"/>
        </w:rPr>
        <w:t>年以上，注册资本人民币</w:t>
      </w:r>
      <w:r>
        <w:rPr>
          <w:rFonts w:hint="eastAsia" w:ascii="仿宋" w:hAnsi="仿宋" w:eastAsia="仿宋"/>
          <w:sz w:val="24"/>
          <w:lang w:val="en-US" w:eastAsia="zh-CN"/>
        </w:rPr>
        <w:t>5</w:t>
      </w:r>
      <w:r>
        <w:rPr>
          <w:rFonts w:hint="eastAsia" w:ascii="仿宋" w:hAnsi="仿宋" w:eastAsia="仿宋"/>
          <w:sz w:val="24"/>
        </w:rPr>
        <w:t>00万元以上；</w:t>
      </w:r>
    </w:p>
    <w:p>
      <w:pPr>
        <w:spacing w:line="360" w:lineRule="auto"/>
        <w:ind w:firstLine="480" w:firstLineChars="200"/>
        <w:rPr>
          <w:rFonts w:hint="eastAsia" w:ascii="仿宋" w:hAnsi="仿宋" w:eastAsia="仿宋"/>
          <w:sz w:val="24"/>
          <w:lang w:eastAsia="zh-CN"/>
        </w:rPr>
      </w:pPr>
      <w:r>
        <w:rPr>
          <w:rFonts w:hint="eastAsia" w:ascii="仿宋" w:hAnsi="仿宋" w:eastAsia="仿宋"/>
          <w:sz w:val="24"/>
          <w:lang w:val="en-US" w:eastAsia="zh-CN"/>
        </w:rPr>
        <w:t>3</w:t>
      </w:r>
      <w:r>
        <w:rPr>
          <w:rFonts w:hint="eastAsia" w:ascii="仿宋" w:hAnsi="仿宋" w:eastAsia="仿宋"/>
          <w:sz w:val="24"/>
        </w:rPr>
        <w:t>.</w:t>
      </w:r>
      <w:r>
        <w:rPr>
          <w:rFonts w:hint="eastAsia" w:ascii="仿宋" w:hAnsi="仿宋" w:eastAsia="仿宋"/>
          <w:sz w:val="24"/>
          <w:lang w:val="en-US" w:eastAsia="zh-CN"/>
        </w:rPr>
        <w:t>供应</w:t>
      </w:r>
      <w:r>
        <w:rPr>
          <w:rFonts w:hint="eastAsia" w:ascii="仿宋" w:hAnsi="仿宋" w:eastAsia="仿宋"/>
          <w:sz w:val="24"/>
        </w:rPr>
        <w:t>商近三年无重大分裂、业务转型等现象，发展稳定持续；</w:t>
      </w:r>
    </w:p>
    <w:p>
      <w:pPr>
        <w:spacing w:line="360" w:lineRule="auto"/>
        <w:ind w:firstLine="480" w:firstLineChars="200"/>
        <w:rPr>
          <w:rFonts w:hint="eastAsia" w:ascii="仿宋" w:hAnsi="仿宋" w:eastAsia="仿宋"/>
          <w:sz w:val="24"/>
          <w:lang w:eastAsia="zh-CN"/>
        </w:rPr>
      </w:pPr>
      <w:r>
        <w:rPr>
          <w:rFonts w:hint="eastAsia" w:ascii="仿宋" w:hAnsi="仿宋" w:eastAsia="仿宋"/>
          <w:sz w:val="24"/>
          <w:lang w:val="en-US" w:eastAsia="zh-CN"/>
        </w:rPr>
        <w:t>4</w:t>
      </w:r>
      <w:r>
        <w:rPr>
          <w:rFonts w:hint="eastAsia" w:ascii="仿宋" w:hAnsi="仿宋" w:eastAsia="仿宋"/>
          <w:sz w:val="24"/>
        </w:rPr>
        <w:t>.</w:t>
      </w:r>
      <w:r>
        <w:rPr>
          <w:rFonts w:hint="eastAsia" w:ascii="仿宋" w:hAnsi="仿宋" w:eastAsia="仿宋"/>
          <w:sz w:val="24"/>
          <w:lang w:val="en-US" w:eastAsia="zh-CN"/>
        </w:rPr>
        <w:t>供应</w:t>
      </w:r>
      <w:r>
        <w:rPr>
          <w:rFonts w:hint="eastAsia" w:ascii="仿宋" w:hAnsi="仿宋" w:eastAsia="仿宋"/>
          <w:sz w:val="24"/>
        </w:rPr>
        <w:t>商近三年没有违反知识产权保护等国家有关法律的行为；</w:t>
      </w:r>
    </w:p>
    <w:p>
      <w:pPr>
        <w:spacing w:line="360" w:lineRule="auto"/>
        <w:ind w:firstLine="480" w:firstLineChars="200"/>
        <w:rPr>
          <w:rFonts w:hint="eastAsia" w:ascii="仿宋" w:hAnsi="仿宋" w:eastAsia="仿宋"/>
          <w:sz w:val="24"/>
          <w:lang w:eastAsia="zh-CN"/>
        </w:rPr>
      </w:pPr>
      <w:r>
        <w:rPr>
          <w:rFonts w:hint="eastAsia" w:ascii="仿宋" w:hAnsi="仿宋" w:eastAsia="仿宋"/>
          <w:sz w:val="24"/>
          <w:lang w:val="en-US" w:eastAsia="zh-CN"/>
        </w:rPr>
        <w:t>5</w:t>
      </w:r>
      <w:r>
        <w:rPr>
          <w:rFonts w:hint="eastAsia" w:ascii="仿宋" w:hAnsi="仿宋" w:eastAsia="仿宋"/>
          <w:sz w:val="24"/>
        </w:rPr>
        <w:t>.</w:t>
      </w:r>
      <w:r>
        <w:rPr>
          <w:rFonts w:hint="eastAsia" w:ascii="仿宋" w:hAnsi="仿宋" w:eastAsia="仿宋"/>
          <w:sz w:val="24"/>
          <w:lang w:val="en-US" w:eastAsia="zh-CN"/>
        </w:rPr>
        <w:t>供应</w:t>
      </w:r>
      <w:r>
        <w:rPr>
          <w:rFonts w:hint="eastAsia" w:ascii="仿宋" w:hAnsi="仿宋" w:eastAsia="仿宋"/>
          <w:sz w:val="24"/>
        </w:rPr>
        <w:t>商具有固定的工作场所；具有软件产品质量和技术服务质量保证的手段与能力；</w:t>
      </w:r>
    </w:p>
    <w:p>
      <w:pPr>
        <w:spacing w:line="360" w:lineRule="auto"/>
        <w:ind w:firstLine="480" w:firstLineChars="200"/>
        <w:rPr>
          <w:rFonts w:hint="eastAsia" w:ascii="仿宋" w:hAnsi="仿宋" w:eastAsia="仿宋"/>
          <w:sz w:val="24"/>
          <w:lang w:eastAsia="zh-CN"/>
        </w:rPr>
      </w:pPr>
      <w:r>
        <w:rPr>
          <w:rFonts w:hint="eastAsia" w:ascii="仿宋" w:hAnsi="仿宋" w:eastAsia="仿宋"/>
          <w:sz w:val="24"/>
          <w:lang w:val="en-US" w:eastAsia="zh-CN"/>
        </w:rPr>
        <w:t>6</w:t>
      </w:r>
      <w:r>
        <w:rPr>
          <w:rFonts w:hint="eastAsia" w:ascii="仿宋" w:hAnsi="仿宋" w:eastAsia="仿宋"/>
          <w:sz w:val="24"/>
        </w:rPr>
        <w:t>.</w:t>
      </w:r>
      <w:r>
        <w:rPr>
          <w:rFonts w:hint="eastAsia" w:ascii="仿宋" w:hAnsi="仿宋" w:eastAsia="仿宋"/>
          <w:sz w:val="24"/>
          <w:lang w:val="en-US" w:eastAsia="zh-CN"/>
        </w:rPr>
        <w:t>供应</w:t>
      </w:r>
      <w:r>
        <w:rPr>
          <w:rFonts w:hint="eastAsia" w:ascii="仿宋" w:hAnsi="仿宋" w:eastAsia="仿宋"/>
          <w:sz w:val="24"/>
        </w:rPr>
        <w:t>商应独立</w:t>
      </w:r>
      <w:r>
        <w:rPr>
          <w:rFonts w:hint="eastAsia" w:ascii="仿宋" w:hAnsi="仿宋" w:eastAsia="仿宋"/>
          <w:sz w:val="24"/>
          <w:lang w:val="en-US" w:eastAsia="zh-CN"/>
        </w:rPr>
        <w:t>落实本项目采购服务</w:t>
      </w:r>
      <w:r>
        <w:rPr>
          <w:rFonts w:hint="eastAsia" w:ascii="仿宋" w:hAnsi="仿宋" w:eastAsia="仿宋"/>
          <w:sz w:val="24"/>
        </w:rPr>
        <w:t>，不得以任何形式转包；</w:t>
      </w:r>
    </w:p>
    <w:p>
      <w:pPr>
        <w:spacing w:line="360" w:lineRule="auto"/>
        <w:ind w:firstLine="480" w:firstLineChars="200"/>
        <w:rPr>
          <w:rFonts w:hint="eastAsia" w:ascii="仿宋" w:hAnsi="仿宋" w:eastAsia="仿宋"/>
          <w:sz w:val="24"/>
          <w:lang w:val="en-US" w:eastAsia="zh-CN"/>
        </w:rPr>
      </w:pPr>
      <w:r>
        <w:rPr>
          <w:rFonts w:hint="eastAsia" w:ascii="仿宋" w:hAnsi="仿宋" w:eastAsia="仿宋"/>
          <w:sz w:val="24"/>
          <w:lang w:val="en-US" w:eastAsia="zh-CN"/>
        </w:rPr>
        <w:t>7</w:t>
      </w:r>
      <w:r>
        <w:rPr>
          <w:rFonts w:hint="eastAsia" w:ascii="仿宋" w:hAnsi="仿宋" w:eastAsia="仿宋"/>
          <w:sz w:val="24"/>
        </w:rPr>
        <w:t>.</w:t>
      </w:r>
      <w:r>
        <w:rPr>
          <w:rFonts w:hint="eastAsia" w:ascii="仿宋" w:hAnsi="仿宋" w:eastAsia="仿宋"/>
          <w:sz w:val="24"/>
          <w:lang w:val="en-US" w:eastAsia="zh-CN"/>
        </w:rPr>
        <w:t>供应</w:t>
      </w:r>
      <w:r>
        <w:rPr>
          <w:rFonts w:hint="eastAsia" w:ascii="仿宋" w:hAnsi="仿宋" w:eastAsia="仿宋"/>
          <w:sz w:val="24"/>
        </w:rPr>
        <w:t>商需按太平洋安信农业保险股份有限公司要求时间范围内完成项目各项</w:t>
      </w:r>
      <w:r>
        <w:rPr>
          <w:rFonts w:hint="eastAsia" w:ascii="仿宋" w:hAnsi="仿宋" w:eastAsia="仿宋"/>
          <w:sz w:val="24"/>
          <w:lang w:val="en-US" w:eastAsia="zh-CN"/>
        </w:rPr>
        <w:t>服务</w:t>
      </w:r>
      <w:r>
        <w:rPr>
          <w:rFonts w:hint="eastAsia" w:ascii="仿宋" w:hAnsi="仿宋" w:eastAsia="仿宋"/>
          <w:sz w:val="24"/>
        </w:rPr>
        <w:t>工作</w:t>
      </w:r>
      <w:r>
        <w:rPr>
          <w:rFonts w:hint="eastAsia" w:ascii="仿宋" w:hAnsi="仿宋" w:eastAsia="仿宋"/>
          <w:sz w:val="24"/>
          <w:lang w:eastAsia="zh-CN"/>
        </w:rPr>
        <w:t>；</w:t>
      </w:r>
    </w:p>
    <w:p>
      <w:pPr>
        <w:spacing w:line="360" w:lineRule="auto"/>
        <w:ind w:firstLine="480" w:firstLineChars="200"/>
        <w:rPr>
          <w:rFonts w:hint="eastAsia" w:ascii="仿宋" w:hAnsi="仿宋" w:eastAsia="仿宋" w:cs="Times New Roman"/>
          <w:sz w:val="24"/>
          <w:szCs w:val="28"/>
          <w:lang w:val="en-US" w:eastAsia="zh-CN"/>
        </w:rPr>
      </w:pPr>
      <w:r>
        <w:rPr>
          <w:rFonts w:hint="eastAsia" w:ascii="仿宋" w:hAnsi="仿宋" w:eastAsia="仿宋" w:cs="Times New Roman"/>
          <w:sz w:val="24"/>
          <w:szCs w:val="28"/>
          <w:lang w:val="en-US" w:eastAsia="zh-CN"/>
        </w:rPr>
        <w:t>8.供应</w:t>
      </w:r>
      <w:r>
        <w:rPr>
          <w:rFonts w:hint="eastAsia" w:ascii="仿宋" w:hAnsi="仿宋" w:eastAsia="仿宋" w:cs="仿宋"/>
          <w:sz w:val="24"/>
        </w:rPr>
        <w:t>商需提供符合</w:t>
      </w:r>
      <w:r>
        <w:rPr>
          <w:rFonts w:hint="eastAsia" w:ascii="仿宋" w:hAnsi="仿宋" w:eastAsia="仿宋" w:cs="仿宋"/>
          <w:sz w:val="24"/>
          <w:lang w:val="en-US" w:eastAsia="zh-CN"/>
        </w:rPr>
        <w:t>要求</w:t>
      </w:r>
      <w:r>
        <w:rPr>
          <w:rFonts w:hint="eastAsia" w:ascii="仿宋" w:hAnsi="仿宋" w:eastAsia="仿宋" w:cs="仿宋"/>
          <w:sz w:val="24"/>
        </w:rPr>
        <w:t>的</w:t>
      </w:r>
      <w:r>
        <w:rPr>
          <w:rFonts w:hint="eastAsia" w:ascii="仿宋" w:hAnsi="仿宋" w:eastAsia="仿宋" w:cs="仿宋"/>
          <w:sz w:val="24"/>
          <w:lang w:val="en-US" w:eastAsia="zh-CN"/>
        </w:rPr>
        <w:t>驻场服务人员</w:t>
      </w:r>
      <w:r>
        <w:rPr>
          <w:rFonts w:hint="eastAsia" w:ascii="仿宋" w:hAnsi="仿宋" w:eastAsia="仿宋" w:cs="仿宋"/>
          <w:sz w:val="24"/>
        </w:rPr>
        <w:t>，承诺按时、保质完成</w:t>
      </w:r>
      <w:r>
        <w:rPr>
          <w:rFonts w:hint="eastAsia" w:ascii="仿宋" w:hAnsi="仿宋" w:eastAsia="仿宋" w:cs="仿宋"/>
          <w:sz w:val="24"/>
          <w:lang w:val="en-US" w:eastAsia="zh-CN"/>
        </w:rPr>
        <w:t>各项工作</w:t>
      </w:r>
      <w:r>
        <w:rPr>
          <w:rFonts w:hint="eastAsia" w:ascii="仿宋" w:hAnsi="仿宋" w:eastAsia="仿宋" w:cs="仿宋"/>
          <w:sz w:val="24"/>
        </w:rPr>
        <w:t>，并在投标文件中明确服务质量及安全保密承诺</w:t>
      </w:r>
      <w:r>
        <w:rPr>
          <w:rFonts w:hint="eastAsia" w:ascii="仿宋" w:hAnsi="仿宋" w:eastAsia="仿宋" w:cs="仿宋"/>
          <w:sz w:val="24"/>
          <w:lang w:eastAsia="zh-CN"/>
        </w:rPr>
        <w:t>；</w:t>
      </w:r>
    </w:p>
    <w:p>
      <w:pPr>
        <w:spacing w:line="360" w:lineRule="auto"/>
        <w:ind w:firstLine="480" w:firstLineChars="200"/>
        <w:rPr>
          <w:rFonts w:hint="eastAsia" w:ascii="仿宋" w:hAnsi="仿宋" w:eastAsia="仿宋" w:cs="仿宋"/>
          <w:sz w:val="24"/>
        </w:rPr>
      </w:pPr>
      <w:r>
        <w:rPr>
          <w:rFonts w:hint="eastAsia" w:ascii="仿宋" w:hAnsi="仿宋" w:eastAsia="仿宋" w:cs="Times New Roman"/>
          <w:sz w:val="24"/>
          <w:szCs w:val="28"/>
          <w:lang w:val="en-US" w:eastAsia="zh-CN"/>
        </w:rPr>
        <w:t>9.供应商需</w:t>
      </w:r>
      <w:r>
        <w:rPr>
          <w:rFonts w:hint="eastAsia" w:ascii="仿宋" w:hAnsi="仿宋" w:eastAsia="仿宋"/>
          <w:sz w:val="24"/>
        </w:rPr>
        <w:t>根据我方的标准及要求，负责做好</w:t>
      </w:r>
      <w:r>
        <w:rPr>
          <w:rFonts w:hint="eastAsia" w:ascii="仿宋" w:hAnsi="仿宋" w:eastAsia="仿宋"/>
          <w:sz w:val="24"/>
          <w:lang w:val="en-US" w:eastAsia="zh-CN"/>
        </w:rPr>
        <w:t>驻场</w:t>
      </w:r>
      <w:r>
        <w:rPr>
          <w:rFonts w:hint="eastAsia" w:ascii="仿宋" w:hAnsi="仿宋" w:eastAsia="仿宋"/>
          <w:sz w:val="24"/>
        </w:rPr>
        <w:t>人员的培训</w:t>
      </w:r>
      <w:r>
        <w:rPr>
          <w:rFonts w:hint="eastAsia" w:ascii="仿宋" w:hAnsi="仿宋" w:eastAsia="仿宋"/>
          <w:sz w:val="24"/>
          <w:lang w:eastAsia="zh-CN"/>
        </w:rPr>
        <w:t>、</w:t>
      </w:r>
      <w:r>
        <w:rPr>
          <w:rFonts w:hint="eastAsia" w:ascii="仿宋" w:hAnsi="仿宋" w:eastAsia="仿宋" w:cs="仿宋"/>
          <w:sz w:val="24"/>
        </w:rPr>
        <w:t>技术支持</w:t>
      </w:r>
      <w:r>
        <w:rPr>
          <w:rFonts w:hint="eastAsia" w:ascii="仿宋" w:hAnsi="仿宋" w:eastAsia="仿宋" w:cs="仿宋"/>
          <w:sz w:val="24"/>
          <w:lang w:val="en-US" w:eastAsia="zh-CN"/>
        </w:rPr>
        <w:t>等</w:t>
      </w:r>
      <w:r>
        <w:rPr>
          <w:rFonts w:hint="eastAsia" w:ascii="仿宋" w:hAnsi="仿宋" w:eastAsia="仿宋"/>
          <w:sz w:val="24"/>
        </w:rPr>
        <w:t>工作。</w:t>
      </w:r>
    </w:p>
    <w:p>
      <w:pPr>
        <w:numPr>
          <w:ilvl w:val="0"/>
          <w:numId w:val="2"/>
        </w:numPr>
        <w:spacing w:line="360" w:lineRule="auto"/>
        <w:ind w:firstLine="472" w:firstLineChars="196"/>
        <w:outlineLvl w:val="0"/>
        <w:rPr>
          <w:rFonts w:ascii="黑体" w:hAnsi="黑体" w:eastAsia="黑体" w:cs="黑体"/>
          <w:b/>
          <w:sz w:val="24"/>
        </w:rPr>
      </w:pPr>
      <w:r>
        <w:rPr>
          <w:rFonts w:hint="eastAsia" w:ascii="黑体" w:hAnsi="黑体" w:eastAsia="黑体" w:cs="黑体"/>
          <w:b/>
          <w:sz w:val="24"/>
        </w:rPr>
        <w:t>项目价格构成</w:t>
      </w:r>
    </w:p>
    <w:p>
      <w:pPr>
        <w:tabs>
          <w:tab w:val="left" w:pos="900"/>
        </w:tabs>
        <w:spacing w:line="360" w:lineRule="auto"/>
        <w:ind w:firstLine="480" w:firstLineChars="200"/>
        <w:rPr>
          <w:rFonts w:hint="eastAsia" w:ascii="仿宋" w:hAnsi="仿宋" w:eastAsia="仿宋" w:cs="仿宋"/>
          <w:sz w:val="24"/>
        </w:rPr>
      </w:pPr>
      <w:r>
        <w:rPr>
          <w:rFonts w:hint="eastAsia" w:ascii="仿宋" w:hAnsi="仿宋" w:eastAsia="仿宋" w:cs="仿宋"/>
          <w:sz w:val="24"/>
        </w:rPr>
        <w:t>项目金额按照项目形式进行报价，贵公司项目组应根据贵公司开发、维护服务报价并结合我司开发功能需求对开发周期、成本、资源等进行综合评估，并在此基础上提出项目报价，最终项目总费用根据最终报价确定。</w:t>
      </w:r>
    </w:p>
    <w:p>
      <w:pPr>
        <w:numPr>
          <w:ilvl w:val="0"/>
          <w:numId w:val="2"/>
        </w:numPr>
        <w:spacing w:line="360" w:lineRule="auto"/>
        <w:ind w:firstLine="472" w:firstLineChars="196"/>
        <w:outlineLvl w:val="0"/>
        <w:rPr>
          <w:rFonts w:ascii="黑体" w:hAnsi="黑体" w:eastAsia="黑体" w:cs="黑体"/>
          <w:b/>
          <w:sz w:val="24"/>
        </w:rPr>
      </w:pPr>
      <w:r>
        <w:rPr>
          <w:rFonts w:hint="eastAsia" w:ascii="黑体" w:hAnsi="黑体" w:eastAsia="黑体" w:cs="黑体"/>
          <w:b/>
          <w:sz w:val="24"/>
        </w:rPr>
        <w:t>报价文件构成</w:t>
      </w:r>
    </w:p>
    <w:p>
      <w:pPr>
        <w:spacing w:line="360" w:lineRule="auto"/>
        <w:ind w:firstLine="480" w:firstLineChars="200"/>
        <w:rPr>
          <w:rFonts w:ascii="仿宋" w:hAnsi="仿宋" w:eastAsia="仿宋" w:cs="仿宋"/>
          <w:sz w:val="24"/>
        </w:rPr>
      </w:pPr>
      <w:r>
        <w:rPr>
          <w:rFonts w:hint="eastAsia" w:ascii="仿宋" w:hAnsi="仿宋" w:eastAsia="仿宋" w:cs="仿宋"/>
          <w:sz w:val="24"/>
        </w:rPr>
        <w:t>（报价文件必须严格按照以下顺序装订好，并加盖公章或合同章，正本一份，副本一份</w:t>
      </w:r>
      <w:r>
        <w:rPr>
          <w:rFonts w:hint="eastAsia" w:ascii="仿宋" w:hAnsi="仿宋" w:eastAsia="仿宋" w:cs="仿宋"/>
          <w:sz w:val="24"/>
          <w:lang w:eastAsia="zh-CN"/>
        </w:rPr>
        <w:t>，</w:t>
      </w:r>
      <w:r>
        <w:rPr>
          <w:rFonts w:hint="eastAsia" w:ascii="仿宋" w:hAnsi="仿宋" w:eastAsia="仿宋" w:cs="仿宋"/>
          <w:sz w:val="24"/>
          <w:lang w:val="en-US" w:eastAsia="zh-CN"/>
        </w:rPr>
        <w:t>电子版一份。</w:t>
      </w:r>
      <w:r>
        <w:rPr>
          <w:rFonts w:hint="eastAsia" w:ascii="仿宋" w:hAnsi="仿宋" w:eastAsia="仿宋" w:cs="仿宋"/>
          <w:sz w:val="24"/>
        </w:rPr>
        <w:t>）</w:t>
      </w:r>
    </w:p>
    <w:p>
      <w:pPr>
        <w:spacing w:line="360" w:lineRule="auto"/>
        <w:ind w:firstLine="480" w:firstLineChars="200"/>
        <w:rPr>
          <w:rFonts w:hint="eastAsia" w:ascii="仿宋" w:hAnsi="仿宋" w:eastAsia="仿宋" w:cs="仿宋"/>
          <w:sz w:val="24"/>
          <w:lang w:eastAsia="zh-CN"/>
        </w:rPr>
      </w:pPr>
      <w:r>
        <w:rPr>
          <w:rFonts w:hint="eastAsia" w:ascii="仿宋" w:hAnsi="仿宋" w:eastAsia="仿宋" w:cs="仿宋"/>
          <w:sz w:val="24"/>
        </w:rPr>
        <w:t>1.文件构成目录（须标明页码）；</w:t>
      </w:r>
    </w:p>
    <w:p>
      <w:pPr>
        <w:spacing w:line="360" w:lineRule="auto"/>
        <w:ind w:firstLine="480" w:firstLineChars="200"/>
        <w:rPr>
          <w:rFonts w:ascii="仿宋" w:hAnsi="仿宋" w:eastAsia="仿宋" w:cs="仿宋"/>
          <w:sz w:val="24"/>
        </w:rPr>
      </w:pPr>
      <w:r>
        <w:rPr>
          <w:rFonts w:hint="eastAsia" w:ascii="仿宋" w:hAnsi="仿宋" w:eastAsia="仿宋" w:cs="仿宋"/>
          <w:sz w:val="24"/>
          <w:lang w:val="en-US" w:eastAsia="zh-CN"/>
        </w:rPr>
        <w:t>2</w:t>
      </w:r>
      <w:r>
        <w:rPr>
          <w:rFonts w:hint="eastAsia" w:ascii="仿宋" w:hAnsi="仿宋" w:eastAsia="仿宋" w:cs="仿宋"/>
          <w:sz w:val="24"/>
        </w:rPr>
        <w:t>.贵公司简介，包括公司基本情况介绍、营业服务范围、团队介绍等；</w:t>
      </w:r>
    </w:p>
    <w:p>
      <w:pPr>
        <w:spacing w:line="360" w:lineRule="auto"/>
        <w:ind w:firstLine="480" w:firstLineChars="200"/>
        <w:rPr>
          <w:rFonts w:ascii="仿宋" w:hAnsi="仿宋" w:eastAsia="仿宋" w:cs="仿宋"/>
          <w:sz w:val="24"/>
        </w:rPr>
      </w:pPr>
      <w:r>
        <w:rPr>
          <w:rFonts w:hint="eastAsia" w:ascii="仿宋" w:hAnsi="仿宋" w:eastAsia="仿宋" w:cs="仿宋"/>
          <w:sz w:val="24"/>
          <w:lang w:val="en-US" w:eastAsia="zh-CN"/>
        </w:rPr>
        <w:t>3</w:t>
      </w:r>
      <w:r>
        <w:rPr>
          <w:rFonts w:hint="eastAsia" w:ascii="仿宋" w:hAnsi="仿宋" w:eastAsia="仿宋" w:cs="仿宋"/>
          <w:sz w:val="24"/>
        </w:rPr>
        <w:t>.加盖公章的企业资质材料复印件，包括经最新年检的企业营业执照、税务登记证明、企业组织机构代码证等；</w:t>
      </w:r>
    </w:p>
    <w:p>
      <w:pPr>
        <w:spacing w:line="360" w:lineRule="auto"/>
        <w:ind w:firstLine="480" w:firstLineChars="200"/>
        <w:rPr>
          <w:rFonts w:ascii="仿宋" w:hAnsi="仿宋" w:eastAsia="仿宋" w:cs="仿宋"/>
          <w:sz w:val="24"/>
        </w:rPr>
      </w:pPr>
      <w:r>
        <w:rPr>
          <w:rFonts w:hint="eastAsia" w:ascii="仿宋" w:hAnsi="仿宋" w:eastAsia="仿宋" w:cs="仿宋"/>
          <w:sz w:val="24"/>
          <w:lang w:val="en-US" w:eastAsia="zh-CN"/>
        </w:rPr>
        <w:t>4</w:t>
      </w:r>
      <w:r>
        <w:rPr>
          <w:rFonts w:hint="eastAsia" w:ascii="仿宋" w:hAnsi="仿宋" w:eastAsia="仿宋" w:cs="仿宋"/>
          <w:sz w:val="24"/>
        </w:rPr>
        <w:t>.加盖公章的</w:t>
      </w:r>
      <w:r>
        <w:rPr>
          <w:rFonts w:hint="eastAsia" w:ascii="仿宋" w:hAnsi="仿宋" w:eastAsia="仿宋" w:cs="仿宋"/>
          <w:sz w:val="24"/>
          <w:lang w:val="en-US" w:eastAsia="zh-CN"/>
        </w:rPr>
        <w:t>公司、服务人员</w:t>
      </w:r>
      <w:r>
        <w:rPr>
          <w:rFonts w:hint="eastAsia" w:ascii="仿宋" w:hAnsi="仿宋" w:eastAsia="仿宋" w:cs="仿宋"/>
          <w:sz w:val="24"/>
        </w:rPr>
        <w:t>技术资质材料复印件，包括能证明自己技术能力的资质证书、认证证书</w:t>
      </w:r>
      <w:r>
        <w:rPr>
          <w:rFonts w:hint="eastAsia" w:ascii="仿宋" w:hAnsi="仿宋" w:eastAsia="仿宋" w:cs="仿宋"/>
          <w:sz w:val="24"/>
          <w:lang w:eastAsia="zh-CN"/>
        </w:rPr>
        <w:t>、</w:t>
      </w:r>
      <w:r>
        <w:rPr>
          <w:rFonts w:hint="eastAsia" w:ascii="仿宋" w:hAnsi="仿宋" w:eastAsia="仿宋" w:cs="仿宋"/>
          <w:sz w:val="24"/>
          <w:lang w:val="en-US" w:eastAsia="zh-CN"/>
        </w:rPr>
        <w:t>人员简历</w:t>
      </w:r>
      <w:r>
        <w:rPr>
          <w:rFonts w:hint="eastAsia" w:ascii="仿宋" w:hAnsi="仿宋" w:eastAsia="仿宋" w:cs="仿宋"/>
          <w:sz w:val="24"/>
        </w:rPr>
        <w:t>等；</w:t>
      </w:r>
    </w:p>
    <w:p>
      <w:pPr>
        <w:spacing w:line="360" w:lineRule="auto"/>
        <w:ind w:firstLine="480" w:firstLineChars="200"/>
        <w:rPr>
          <w:rFonts w:ascii="仿宋" w:hAnsi="仿宋" w:eastAsia="仿宋" w:cs="仿宋"/>
          <w:sz w:val="24"/>
        </w:rPr>
      </w:pPr>
      <w:r>
        <w:rPr>
          <w:rFonts w:hint="eastAsia" w:ascii="仿宋" w:hAnsi="仿宋" w:eastAsia="仿宋" w:cs="仿宋"/>
          <w:sz w:val="24"/>
          <w:lang w:val="en-US" w:eastAsia="zh-CN"/>
        </w:rPr>
        <w:t>5</w:t>
      </w:r>
      <w:r>
        <w:rPr>
          <w:rFonts w:hint="eastAsia" w:ascii="仿宋" w:hAnsi="仿宋" w:eastAsia="仿宋" w:cs="仿宋"/>
          <w:sz w:val="24"/>
        </w:rPr>
        <w:t>.能证明自己信誉、管理水平的</w:t>
      </w:r>
      <w:r>
        <w:rPr>
          <w:rFonts w:hint="eastAsia" w:ascii="仿宋" w:hAnsi="仿宋" w:eastAsia="仿宋" w:cs="仿宋"/>
          <w:sz w:val="24"/>
          <w:lang w:val="en-US" w:eastAsia="zh-CN"/>
        </w:rPr>
        <w:t>其他</w:t>
      </w:r>
      <w:r>
        <w:rPr>
          <w:rFonts w:hint="eastAsia" w:ascii="仿宋" w:hAnsi="仿宋" w:eastAsia="仿宋" w:cs="仿宋"/>
          <w:sz w:val="24"/>
        </w:rPr>
        <w:t>证明文件；</w:t>
      </w:r>
    </w:p>
    <w:p>
      <w:pPr>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6</w:t>
      </w:r>
      <w:r>
        <w:rPr>
          <w:rFonts w:hint="eastAsia" w:ascii="仿宋" w:hAnsi="仿宋" w:eastAsia="仿宋" w:cs="仿宋"/>
          <w:sz w:val="24"/>
        </w:rPr>
        <w:t>.项目实施及售后服务</w:t>
      </w:r>
      <w:r>
        <w:rPr>
          <w:rFonts w:hint="eastAsia" w:ascii="仿宋" w:hAnsi="仿宋" w:eastAsia="仿宋" w:cs="仿宋"/>
          <w:sz w:val="24"/>
          <w:lang w:val="en-US" w:eastAsia="zh-CN"/>
        </w:rPr>
        <w:t>方案；</w:t>
      </w:r>
    </w:p>
    <w:p>
      <w:pPr>
        <w:spacing w:line="360" w:lineRule="auto"/>
        <w:ind w:firstLine="480" w:firstLineChars="200"/>
        <w:rPr>
          <w:rFonts w:hint="eastAsia" w:ascii="仿宋" w:hAnsi="仿宋" w:eastAsia="仿宋" w:cs="仿宋"/>
          <w:sz w:val="24"/>
          <w:lang w:eastAsia="zh-CN"/>
        </w:rPr>
      </w:pPr>
      <w:r>
        <w:rPr>
          <w:rFonts w:hint="eastAsia" w:ascii="仿宋" w:hAnsi="仿宋" w:eastAsia="仿宋" w:cs="仿宋"/>
          <w:sz w:val="24"/>
          <w:lang w:val="en-US" w:eastAsia="zh-CN"/>
        </w:rPr>
        <w:t>7</w:t>
      </w:r>
      <w:r>
        <w:rPr>
          <w:rFonts w:hint="eastAsia" w:ascii="仿宋" w:hAnsi="仿宋" w:eastAsia="仿宋" w:cs="仿宋"/>
          <w:sz w:val="24"/>
        </w:rPr>
        <w:t>.项目报价单（根据附表1填写；</w:t>
      </w:r>
      <w:r>
        <w:rPr>
          <w:rFonts w:hint="eastAsia" w:ascii="仿宋" w:hAnsi="仿宋" w:eastAsia="仿宋" w:cs="仿宋"/>
          <w:b/>
          <w:bCs/>
          <w:sz w:val="24"/>
        </w:rPr>
        <w:t>授权代表须手写签字，并加盖公章，否则视为无效投标文件</w:t>
      </w:r>
      <w:r>
        <w:rPr>
          <w:rFonts w:hint="eastAsia" w:ascii="仿宋" w:hAnsi="仿宋" w:eastAsia="仿宋" w:cs="仿宋"/>
          <w:sz w:val="24"/>
        </w:rPr>
        <w:t>）</w:t>
      </w:r>
      <w:r>
        <w:rPr>
          <w:rFonts w:hint="eastAsia" w:ascii="仿宋" w:hAnsi="仿宋" w:eastAsia="仿宋" w:cs="仿宋"/>
          <w:sz w:val="24"/>
          <w:lang w:eastAsia="zh-CN"/>
        </w:rPr>
        <w:t>。</w:t>
      </w:r>
    </w:p>
    <w:p>
      <w:pPr>
        <w:spacing w:line="360" w:lineRule="auto"/>
        <w:ind w:firstLine="480" w:firstLineChars="200"/>
        <w:rPr>
          <w:rFonts w:hint="eastAsia" w:ascii="仿宋" w:hAnsi="仿宋" w:eastAsia="仿宋" w:cs="仿宋"/>
          <w:sz w:val="24"/>
          <w:lang w:eastAsia="zh-CN"/>
        </w:rPr>
      </w:pPr>
      <w:r>
        <w:rPr>
          <w:rFonts w:hint="eastAsia" w:ascii="仿宋" w:hAnsi="仿宋" w:eastAsia="仿宋" w:cs="仿宋"/>
          <w:sz w:val="24"/>
          <w:lang w:val="en-US" w:eastAsia="zh-CN"/>
        </w:rPr>
        <w:t>8.供应商声明（</w:t>
      </w:r>
      <w:r>
        <w:rPr>
          <w:rFonts w:hint="eastAsia" w:ascii="仿宋" w:hAnsi="仿宋" w:eastAsia="仿宋" w:cs="仿宋"/>
          <w:sz w:val="24"/>
        </w:rPr>
        <w:t>根据附</w:t>
      </w:r>
      <w:r>
        <w:rPr>
          <w:rFonts w:hint="eastAsia" w:ascii="仿宋" w:hAnsi="仿宋" w:eastAsia="仿宋" w:cs="仿宋"/>
          <w:sz w:val="24"/>
          <w:lang w:val="en-US" w:eastAsia="zh-CN"/>
        </w:rPr>
        <w:t>件2</w:t>
      </w:r>
      <w:r>
        <w:rPr>
          <w:rFonts w:hint="eastAsia" w:ascii="仿宋" w:hAnsi="仿宋" w:eastAsia="仿宋" w:cs="仿宋"/>
          <w:sz w:val="24"/>
        </w:rPr>
        <w:t>填写；</w:t>
      </w:r>
      <w:r>
        <w:rPr>
          <w:rFonts w:hint="eastAsia" w:ascii="仿宋" w:hAnsi="仿宋" w:eastAsia="仿宋" w:cs="仿宋"/>
          <w:b/>
          <w:bCs/>
          <w:sz w:val="24"/>
        </w:rPr>
        <w:t>授权代表须手写签字，并加盖公章，否则视为无效投标文件</w:t>
      </w:r>
      <w:r>
        <w:rPr>
          <w:rFonts w:hint="eastAsia" w:ascii="仿宋" w:hAnsi="仿宋" w:eastAsia="仿宋" w:cs="仿宋"/>
          <w:sz w:val="24"/>
          <w:lang w:val="en-US" w:eastAsia="zh-CN"/>
        </w:rPr>
        <w:t>）</w:t>
      </w:r>
    </w:p>
    <w:p>
      <w:pPr>
        <w:numPr>
          <w:ilvl w:val="0"/>
          <w:numId w:val="2"/>
        </w:numPr>
        <w:spacing w:line="360" w:lineRule="auto"/>
        <w:ind w:firstLine="472" w:firstLineChars="196"/>
        <w:outlineLvl w:val="0"/>
        <w:rPr>
          <w:rFonts w:ascii="黑体" w:hAnsi="黑体" w:eastAsia="黑体" w:cs="黑体"/>
          <w:b/>
          <w:sz w:val="24"/>
        </w:rPr>
      </w:pPr>
      <w:r>
        <w:rPr>
          <w:rFonts w:hint="eastAsia" w:ascii="黑体" w:hAnsi="黑体" w:eastAsia="黑体" w:cs="黑体"/>
          <w:b/>
          <w:sz w:val="24"/>
        </w:rPr>
        <w:t>特别提示</w:t>
      </w:r>
    </w:p>
    <w:p>
      <w:pPr>
        <w:widowControl/>
        <w:spacing w:line="360" w:lineRule="auto"/>
        <w:ind w:firstLine="480" w:firstLineChars="200"/>
        <w:jc w:val="left"/>
        <w:rPr>
          <w:rFonts w:ascii="仿宋" w:hAnsi="仿宋" w:eastAsia="仿宋" w:cs="仿宋"/>
          <w:bCs/>
          <w:sz w:val="24"/>
        </w:rPr>
      </w:pPr>
      <w:r>
        <w:rPr>
          <w:rFonts w:hint="eastAsia" w:ascii="仿宋" w:hAnsi="仿宋" w:eastAsia="仿宋" w:cs="仿宋"/>
          <w:bCs/>
          <w:sz w:val="24"/>
        </w:rPr>
        <w:t>1.请您将</w:t>
      </w:r>
      <w:r>
        <w:rPr>
          <w:rFonts w:hint="eastAsia" w:ascii="仿宋" w:hAnsi="仿宋" w:eastAsia="仿宋" w:cs="仿宋"/>
          <w:bCs/>
          <w:sz w:val="24"/>
          <w:lang w:val="en-US" w:eastAsia="zh-CN"/>
        </w:rPr>
        <w:t>本项目涉及的其他</w:t>
      </w:r>
      <w:r>
        <w:rPr>
          <w:rFonts w:hint="eastAsia" w:ascii="仿宋" w:hAnsi="仿宋" w:eastAsia="仿宋" w:cs="仿宋"/>
          <w:bCs/>
          <w:sz w:val="24"/>
        </w:rPr>
        <w:t>服务所需的费用（如果有）全部计入总报价中，不得单独列出，否则会造成我司无法进行评议，使您的报价错过被选中的机会；</w:t>
      </w:r>
    </w:p>
    <w:p>
      <w:pPr>
        <w:widowControl/>
        <w:spacing w:line="360" w:lineRule="auto"/>
        <w:ind w:firstLine="480" w:firstLineChars="200"/>
        <w:jc w:val="left"/>
        <w:rPr>
          <w:rFonts w:ascii="仿宋" w:hAnsi="仿宋" w:eastAsia="仿宋" w:cs="仿宋"/>
          <w:bCs/>
          <w:sz w:val="24"/>
        </w:rPr>
      </w:pPr>
      <w:r>
        <w:rPr>
          <w:rFonts w:hint="eastAsia" w:ascii="仿宋" w:hAnsi="仿宋" w:eastAsia="仿宋" w:cs="仿宋"/>
          <w:bCs/>
          <w:sz w:val="24"/>
        </w:rPr>
        <w:t>2.《报价单》须按照规定格式填报，不得修改，否则按不合格报价文件处理；</w:t>
      </w:r>
    </w:p>
    <w:p>
      <w:pPr>
        <w:widowControl/>
        <w:spacing w:line="360" w:lineRule="auto"/>
        <w:ind w:firstLine="480" w:firstLineChars="200"/>
        <w:jc w:val="left"/>
        <w:rPr>
          <w:rFonts w:ascii="仿宋" w:hAnsi="仿宋" w:eastAsia="仿宋" w:cs="仿宋"/>
          <w:bCs/>
          <w:sz w:val="24"/>
        </w:rPr>
      </w:pPr>
      <w:r>
        <w:rPr>
          <w:rFonts w:hint="eastAsia" w:ascii="仿宋" w:hAnsi="仿宋" w:eastAsia="仿宋" w:cs="仿宋"/>
          <w:bCs/>
          <w:sz w:val="24"/>
        </w:rPr>
        <w:t>3.报价文件需盖章（公章或合同红章）并经授权代表签字后，方可生效；</w:t>
      </w:r>
    </w:p>
    <w:p>
      <w:pPr>
        <w:widowControl/>
        <w:spacing w:line="360" w:lineRule="auto"/>
        <w:ind w:firstLine="480" w:firstLineChars="200"/>
        <w:jc w:val="left"/>
        <w:rPr>
          <w:rFonts w:ascii="仿宋" w:hAnsi="仿宋" w:eastAsia="仿宋" w:cs="仿宋"/>
          <w:bCs/>
          <w:sz w:val="24"/>
        </w:rPr>
      </w:pPr>
      <w:r>
        <w:rPr>
          <w:rFonts w:hint="eastAsia" w:ascii="仿宋" w:hAnsi="仿宋" w:eastAsia="仿宋" w:cs="仿宋"/>
          <w:bCs/>
          <w:sz w:val="24"/>
          <w:lang w:val="en-US" w:eastAsia="zh-CN"/>
        </w:rPr>
        <w:t>4</w:t>
      </w:r>
      <w:r>
        <w:rPr>
          <w:rFonts w:hint="eastAsia" w:ascii="仿宋" w:hAnsi="仿宋" w:eastAsia="仿宋" w:cs="仿宋"/>
          <w:bCs/>
          <w:sz w:val="24"/>
        </w:rPr>
        <w:t>.报价文件报送超过规定时间，我公司将不予受理；</w:t>
      </w:r>
    </w:p>
    <w:p>
      <w:pPr>
        <w:widowControl/>
        <w:spacing w:line="360" w:lineRule="auto"/>
        <w:ind w:firstLine="480" w:firstLineChars="200"/>
        <w:jc w:val="left"/>
        <w:rPr>
          <w:rFonts w:hint="eastAsia" w:ascii="仿宋" w:hAnsi="仿宋" w:eastAsia="仿宋" w:cs="仿宋"/>
          <w:bCs/>
          <w:sz w:val="24"/>
          <w:lang w:eastAsia="zh-CN"/>
        </w:rPr>
      </w:pPr>
      <w:r>
        <w:rPr>
          <w:rFonts w:hint="eastAsia" w:ascii="仿宋" w:hAnsi="仿宋" w:eastAsia="仿宋" w:cs="仿宋"/>
          <w:bCs/>
          <w:sz w:val="24"/>
          <w:lang w:val="en-US" w:eastAsia="zh-CN"/>
        </w:rPr>
        <w:t>5</w:t>
      </w:r>
      <w:r>
        <w:rPr>
          <w:rFonts w:hint="eastAsia" w:ascii="仿宋" w:hAnsi="仿宋" w:eastAsia="仿宋" w:cs="仿宋"/>
          <w:bCs/>
          <w:sz w:val="24"/>
        </w:rPr>
        <w:t>.贵公司提交的报价文件务必装订成册并加盖骑缝章</w:t>
      </w:r>
      <w:r>
        <w:rPr>
          <w:rFonts w:hint="eastAsia" w:ascii="仿宋" w:hAnsi="仿宋" w:eastAsia="仿宋" w:cs="仿宋"/>
          <w:bCs/>
          <w:sz w:val="24"/>
          <w:lang w:eastAsia="zh-CN"/>
        </w:rPr>
        <w:t>；</w:t>
      </w:r>
    </w:p>
    <w:p>
      <w:pPr>
        <w:spacing w:line="360" w:lineRule="auto"/>
        <w:ind w:firstLine="480" w:firstLineChars="200"/>
        <w:rPr>
          <w:rFonts w:hint="eastAsia" w:ascii="仿宋" w:hAnsi="仿宋" w:eastAsia="仿宋" w:cs="仿宋"/>
          <w:sz w:val="24"/>
          <w:lang w:eastAsia="zh-CN"/>
        </w:rPr>
      </w:pPr>
      <w:r>
        <w:rPr>
          <w:rFonts w:hint="eastAsia" w:ascii="仿宋" w:hAnsi="仿宋" w:eastAsia="仿宋" w:cs="仿宋"/>
          <w:sz w:val="24"/>
          <w:lang w:val="en-US" w:eastAsia="zh-CN"/>
        </w:rPr>
        <w:t>6.</w:t>
      </w:r>
      <w:r>
        <w:rPr>
          <w:rFonts w:hint="eastAsia" w:ascii="仿宋" w:hAnsi="仿宋" w:eastAsia="仿宋" w:cs="仿宋"/>
          <w:sz w:val="24"/>
        </w:rPr>
        <w:t>供应商在报价文件上提供的报价将作为本项目采购合同的成交价格的重要依据，请审慎报价</w:t>
      </w:r>
      <w:r>
        <w:rPr>
          <w:rFonts w:hint="eastAsia" w:ascii="仿宋" w:hAnsi="仿宋" w:eastAsia="仿宋" w:cs="仿宋"/>
          <w:sz w:val="24"/>
          <w:lang w:eastAsia="zh-CN"/>
        </w:rPr>
        <w:t>；</w:t>
      </w:r>
    </w:p>
    <w:p>
      <w:pPr>
        <w:widowControl/>
        <w:spacing w:line="360" w:lineRule="auto"/>
        <w:ind w:firstLine="480" w:firstLineChars="200"/>
        <w:jc w:val="left"/>
        <w:rPr>
          <w:rFonts w:hint="eastAsia" w:ascii="仿宋" w:hAnsi="仿宋" w:eastAsia="仿宋" w:cs="仿宋"/>
          <w:bCs/>
          <w:sz w:val="24"/>
          <w:lang w:eastAsia="zh-CN"/>
        </w:rPr>
      </w:pPr>
      <w:r>
        <w:rPr>
          <w:rFonts w:hint="eastAsia" w:ascii="仿宋" w:hAnsi="仿宋" w:eastAsia="仿宋" w:cs="仿宋"/>
          <w:sz w:val="24"/>
          <w:lang w:val="en-US" w:eastAsia="zh-CN"/>
        </w:rPr>
        <w:t>7.我司按公司采购流程进行供应商选择，未入围或中标的供应商不另行通知，对未入围或未中标的原因不给予说明；</w:t>
      </w:r>
    </w:p>
    <w:p>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lang w:val="en-US" w:eastAsia="zh-CN"/>
        </w:rPr>
        <w:t>8</w:t>
      </w:r>
      <w:r>
        <w:rPr>
          <w:rFonts w:hint="eastAsia" w:ascii="仿宋" w:hAnsi="仿宋" w:eastAsia="仿宋" w:cs="仿宋"/>
          <w:bCs/>
          <w:sz w:val="24"/>
        </w:rPr>
        <w:t>.对于贵公司提供的资料，本公司予以保密，但概不退还。</w:t>
      </w:r>
    </w:p>
    <w:p>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9.参与竞价单位一旦成功中标，须保障太安农险和最终用户在使用其货物、服务及其任何部分不受到第三方关于侵犯商业秘密的指控。任何第三方如果提出相关指控，参与竞价</w:t>
      </w:r>
      <w:r>
        <w:rPr>
          <w:rFonts w:hint="eastAsia" w:ascii="仿宋" w:hAnsi="仿宋" w:eastAsia="仿宋" w:cs="仿宋"/>
          <w:bCs/>
          <w:sz w:val="24"/>
          <w:lang w:val="en-US" w:eastAsia="zh-CN"/>
        </w:rPr>
        <w:t>企业</w:t>
      </w:r>
      <w:r>
        <w:rPr>
          <w:rFonts w:hint="eastAsia" w:ascii="仿宋" w:hAnsi="仿宋" w:eastAsia="仿宋" w:cs="仿宋"/>
          <w:bCs/>
          <w:sz w:val="24"/>
        </w:rPr>
        <w:t>须与第三方交涉并承担由此而引起的一切法律责任和费用。</w:t>
      </w:r>
    </w:p>
    <w:p>
      <w:pPr>
        <w:spacing w:line="360" w:lineRule="auto"/>
        <w:ind w:firstLine="420" w:firstLineChars="0"/>
        <w:rPr>
          <w:rFonts w:hint="eastAsia" w:ascii="仿宋" w:hAnsi="仿宋" w:eastAsia="仿宋" w:cs="仿宋"/>
          <w:bCs/>
          <w:sz w:val="24"/>
        </w:rPr>
      </w:pPr>
      <w:r>
        <w:rPr>
          <w:rFonts w:hint="eastAsia" w:ascii="仿宋" w:hAnsi="仿宋" w:eastAsia="仿宋" w:cs="仿宋"/>
          <w:bCs/>
          <w:sz w:val="24"/>
        </w:rPr>
        <w:t>10.参与竞价单位对竞价文件如有疑点，可要求澄清，以书面形式（加盖公章的PDF版和可编辑的Word版）在202</w:t>
      </w:r>
      <w:r>
        <w:rPr>
          <w:rFonts w:hint="eastAsia" w:ascii="仿宋" w:hAnsi="仿宋" w:eastAsia="仿宋" w:cs="仿宋"/>
          <w:bCs/>
          <w:sz w:val="24"/>
          <w:lang w:val="en-US" w:eastAsia="zh-CN"/>
        </w:rPr>
        <w:t>6</w:t>
      </w:r>
      <w:r>
        <w:rPr>
          <w:rFonts w:hint="eastAsia" w:ascii="仿宋" w:hAnsi="仿宋" w:eastAsia="仿宋" w:cs="仿宋"/>
          <w:bCs/>
          <w:sz w:val="24"/>
        </w:rPr>
        <w:t>年7月1</w:t>
      </w:r>
      <w:r>
        <w:rPr>
          <w:rFonts w:hint="eastAsia" w:ascii="仿宋" w:hAnsi="仿宋" w:eastAsia="仿宋" w:cs="仿宋"/>
          <w:bCs/>
          <w:sz w:val="24"/>
          <w:lang w:val="en-US" w:eastAsia="zh-CN"/>
        </w:rPr>
        <w:t>7</w:t>
      </w:r>
      <w:r>
        <w:rPr>
          <w:rFonts w:hint="eastAsia" w:ascii="仿宋" w:hAnsi="仿宋" w:eastAsia="仿宋" w:cs="仿宋"/>
          <w:bCs/>
          <w:sz w:val="24"/>
        </w:rPr>
        <w:t>日上午10：00之前发送邮件至：</w:t>
      </w:r>
      <w:r>
        <w:rPr>
          <w:rFonts w:hint="eastAsia" w:ascii="仿宋" w:hAnsi="仿宋" w:eastAsia="仿宋" w:cs="仿宋"/>
          <w:bCs/>
          <w:sz w:val="24"/>
          <w:lang w:val="en-US" w:eastAsia="zh-CN"/>
        </w:rPr>
        <w:t>caixueliang</w:t>
      </w:r>
      <w:r>
        <w:rPr>
          <w:rFonts w:hint="eastAsia" w:ascii="仿宋" w:hAnsi="仿宋" w:eastAsia="仿宋" w:cs="仿宋"/>
          <w:bCs/>
          <w:sz w:val="24"/>
        </w:rPr>
        <w:t>-0</w:t>
      </w:r>
      <w:r>
        <w:rPr>
          <w:rFonts w:hint="eastAsia" w:ascii="仿宋" w:hAnsi="仿宋" w:eastAsia="仿宋" w:cs="仿宋"/>
          <w:bCs/>
          <w:sz w:val="24"/>
          <w:lang w:val="en-US" w:eastAsia="zh-CN"/>
        </w:rPr>
        <w:t>02</w:t>
      </w:r>
      <w:r>
        <w:rPr>
          <w:rFonts w:hint="eastAsia" w:ascii="仿宋" w:hAnsi="仿宋" w:eastAsia="仿宋" w:cs="仿宋"/>
          <w:bCs/>
          <w:sz w:val="24"/>
        </w:rPr>
        <w:t>@cpic.com.cn。我司将视情况确定采用适当方式予以澄清或以书面形式予以答复，并在其认为必要时，将不标明查询来源的书面答复发给每一参与竞价单位。参与竞价单位在收到答复后应尽快以书面形式予以确认。</w:t>
      </w:r>
    </w:p>
    <w:p>
      <w:pPr>
        <w:numPr>
          <w:ilvl w:val="0"/>
          <w:numId w:val="2"/>
        </w:numPr>
        <w:spacing w:line="360" w:lineRule="auto"/>
        <w:ind w:firstLine="472" w:firstLineChars="196"/>
        <w:outlineLvl w:val="0"/>
        <w:rPr>
          <w:rFonts w:hint="eastAsia" w:ascii="黑体" w:hAnsi="黑体" w:eastAsia="黑体" w:cs="黑体"/>
          <w:b/>
          <w:sz w:val="24"/>
        </w:rPr>
      </w:pPr>
      <w:r>
        <w:rPr>
          <w:rFonts w:hint="eastAsia" w:ascii="黑体" w:hAnsi="黑体" w:eastAsia="黑体" w:cs="黑体"/>
          <w:b/>
          <w:sz w:val="24"/>
        </w:rPr>
        <w:t>递交竞价文件期限及地点：</w:t>
      </w:r>
    </w:p>
    <w:p>
      <w:pPr>
        <w:spacing w:line="360" w:lineRule="auto"/>
        <w:ind w:firstLine="480" w:firstLineChars="200"/>
        <w:rPr>
          <w:rFonts w:hint="default" w:ascii="仿宋" w:hAnsi="仿宋" w:eastAsia="仿宋" w:cs="仿宋"/>
          <w:bCs/>
          <w:sz w:val="24"/>
          <w:lang w:val="en-US" w:eastAsia="zh-CN"/>
        </w:rPr>
      </w:pPr>
      <w:r>
        <w:rPr>
          <w:rFonts w:hint="eastAsia" w:ascii="仿宋" w:hAnsi="仿宋" w:eastAsia="仿宋" w:cs="仿宋"/>
          <w:bCs/>
          <w:sz w:val="24"/>
          <w:lang w:val="en-US" w:eastAsia="zh-CN"/>
        </w:rPr>
        <w:t>1.</w:t>
      </w:r>
      <w:r>
        <w:rPr>
          <w:rFonts w:hint="eastAsia" w:ascii="仿宋" w:hAnsi="仿宋" w:eastAsia="仿宋" w:cs="仿宋"/>
          <w:bCs/>
          <w:sz w:val="24"/>
        </w:rPr>
        <w:t>时间：</w:t>
      </w:r>
      <w:r>
        <w:rPr>
          <w:rFonts w:hint="eastAsia" w:ascii="仿宋" w:hAnsi="仿宋" w:eastAsia="仿宋" w:cs="仿宋"/>
          <w:bCs/>
          <w:sz w:val="24"/>
          <w:lang w:val="en-US" w:eastAsia="zh-CN"/>
        </w:rPr>
        <w:t>2026年7月13日9:00起至7月17日17:00止</w:t>
      </w:r>
    </w:p>
    <w:p>
      <w:pPr>
        <w:spacing w:line="360" w:lineRule="auto"/>
        <w:ind w:firstLine="480" w:firstLineChars="200"/>
        <w:rPr>
          <w:rFonts w:hint="default" w:ascii="仿宋" w:hAnsi="仿宋" w:eastAsia="仿宋" w:cs="仿宋"/>
          <w:bCs/>
          <w:sz w:val="24"/>
          <w:lang w:val="en-US" w:eastAsia="zh-CN"/>
        </w:rPr>
      </w:pPr>
      <w:r>
        <w:rPr>
          <w:rFonts w:hint="eastAsia" w:ascii="仿宋" w:hAnsi="仿宋" w:eastAsia="仿宋" w:cs="仿宋"/>
          <w:bCs/>
          <w:sz w:val="24"/>
          <w:lang w:val="en-US" w:eastAsia="zh-CN"/>
        </w:rPr>
        <w:t>2.地址：</w:t>
      </w:r>
      <w:r>
        <w:rPr>
          <w:rFonts w:hint="eastAsia" w:ascii="仿宋" w:hAnsi="仿宋" w:eastAsia="仿宋" w:cs="仿宋"/>
          <w:bCs/>
          <w:sz w:val="24"/>
        </w:rPr>
        <w:t>上海市静安区共和新路3651号农保大厦</w:t>
      </w:r>
    </w:p>
    <w:p>
      <w:pPr>
        <w:spacing w:line="360" w:lineRule="auto"/>
        <w:ind w:firstLine="480" w:firstLineChars="200"/>
        <w:rPr>
          <w:rFonts w:hint="default" w:ascii="仿宋" w:hAnsi="仿宋" w:eastAsia="仿宋" w:cs="仿宋"/>
          <w:bCs/>
          <w:sz w:val="24"/>
          <w:lang w:val="en-US" w:eastAsia="zh-CN"/>
        </w:rPr>
      </w:pPr>
      <w:r>
        <w:rPr>
          <w:rFonts w:hint="eastAsia" w:ascii="仿宋" w:hAnsi="仿宋" w:eastAsia="仿宋" w:cs="仿宋"/>
          <w:bCs/>
          <w:sz w:val="24"/>
          <w:lang w:val="en-US" w:eastAsia="zh-CN"/>
        </w:rPr>
        <w:t>3.联系人：蔡学良</w:t>
      </w:r>
    </w:p>
    <w:p>
      <w:pPr>
        <w:spacing w:line="360" w:lineRule="auto"/>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4.联系电话：021-66981150</w:t>
      </w:r>
    </w:p>
    <w:p>
      <w:pPr>
        <w:spacing w:line="360" w:lineRule="auto"/>
        <w:ind w:firstLine="480" w:firstLineChars="200"/>
        <w:rPr>
          <w:rFonts w:hint="default" w:ascii="仿宋" w:hAnsi="仿宋" w:eastAsia="仿宋" w:cs="仿宋"/>
          <w:bCs/>
          <w:sz w:val="24"/>
          <w:lang w:val="en-US" w:eastAsia="zh-CN"/>
        </w:rPr>
      </w:pPr>
      <w:r>
        <w:rPr>
          <w:rFonts w:hint="eastAsia" w:ascii="仿宋" w:hAnsi="仿宋" w:eastAsia="仿宋" w:cs="仿宋"/>
          <w:bCs/>
          <w:sz w:val="24"/>
          <w:lang w:val="en-US" w:eastAsia="zh-CN"/>
        </w:rPr>
        <w:t>5.联系邮箱：caixueliang</w:t>
      </w:r>
      <w:r>
        <w:rPr>
          <w:rFonts w:hint="eastAsia" w:ascii="仿宋" w:hAnsi="仿宋" w:eastAsia="仿宋" w:cs="仿宋"/>
          <w:bCs/>
          <w:sz w:val="24"/>
        </w:rPr>
        <w:t>-0</w:t>
      </w:r>
      <w:r>
        <w:rPr>
          <w:rFonts w:hint="eastAsia" w:ascii="仿宋" w:hAnsi="仿宋" w:eastAsia="仿宋" w:cs="仿宋"/>
          <w:bCs/>
          <w:sz w:val="24"/>
          <w:lang w:val="en-US" w:eastAsia="zh-CN"/>
        </w:rPr>
        <w:t>02</w:t>
      </w:r>
      <w:r>
        <w:rPr>
          <w:rFonts w:hint="eastAsia" w:ascii="仿宋" w:hAnsi="仿宋" w:eastAsia="仿宋" w:cs="仿宋"/>
          <w:bCs/>
          <w:sz w:val="24"/>
        </w:rPr>
        <w:t>@cpic.com.cn</w:t>
      </w:r>
    </w:p>
    <w:p>
      <w:pPr>
        <w:spacing w:line="360" w:lineRule="auto"/>
        <w:ind w:firstLine="480" w:firstLineChars="200"/>
        <w:rPr>
          <w:rFonts w:hint="default" w:ascii="仿宋" w:hAnsi="仿宋" w:eastAsia="仿宋" w:cs="仿宋"/>
          <w:bCs/>
          <w:sz w:val="24"/>
          <w:lang w:val="en-US" w:eastAsia="zh-CN"/>
        </w:rPr>
      </w:pPr>
      <w:r>
        <w:rPr>
          <w:rFonts w:hint="eastAsia" w:ascii="仿宋" w:hAnsi="仿宋" w:eastAsia="仿宋" w:cs="仿宋"/>
          <w:bCs/>
          <w:sz w:val="24"/>
        </w:rPr>
        <w:t>此公告的最终解释权归</w:t>
      </w:r>
      <w:r>
        <w:rPr>
          <w:rFonts w:hint="eastAsia" w:ascii="仿宋" w:hAnsi="仿宋" w:eastAsia="仿宋" w:cs="仿宋"/>
          <w:bCs/>
          <w:sz w:val="24"/>
          <w:lang w:val="en-US" w:eastAsia="zh-CN"/>
        </w:rPr>
        <w:t>太平洋安信农业保险股份有限公司</w:t>
      </w:r>
      <w:r>
        <w:rPr>
          <w:rFonts w:hint="eastAsia" w:ascii="仿宋" w:hAnsi="仿宋" w:eastAsia="仿宋" w:cs="仿宋"/>
          <w:bCs/>
          <w:sz w:val="24"/>
        </w:rPr>
        <w:t>所有。</w:t>
      </w:r>
    </w:p>
    <w:p>
      <w:pPr>
        <w:spacing w:line="360" w:lineRule="auto"/>
        <w:rPr>
          <w:rFonts w:ascii="黑体" w:hAnsi="黑体" w:eastAsia="黑体" w:cs="黑体"/>
          <w:b/>
          <w:sz w:val="24"/>
        </w:rPr>
      </w:pPr>
      <w:r>
        <w:rPr>
          <w:rFonts w:hint="eastAsia" w:ascii="华文细黑" w:hAnsi="华文细黑" w:eastAsia="华文细黑"/>
          <w:b/>
          <w:bCs/>
          <w:sz w:val="24"/>
        </w:rPr>
        <w:br w:type="page"/>
      </w:r>
      <w:r>
        <w:rPr>
          <w:rFonts w:hint="eastAsia" w:ascii="黑体" w:hAnsi="黑体" w:eastAsia="黑体" w:cs="黑体"/>
          <w:b/>
          <w:sz w:val="24"/>
        </w:rPr>
        <w:t>附表1（</w:t>
      </w:r>
      <w:r>
        <w:rPr>
          <w:rFonts w:hint="eastAsia" w:ascii="黑体" w:hAnsi="黑体" w:eastAsia="黑体" w:cs="黑体"/>
          <w:b/>
          <w:color w:val="FF0000"/>
          <w:sz w:val="24"/>
        </w:rPr>
        <w:t>须唯一且单独封装</w:t>
      </w:r>
      <w:r>
        <w:rPr>
          <w:rFonts w:hint="eastAsia" w:ascii="黑体" w:hAnsi="黑体" w:eastAsia="黑体" w:cs="黑体"/>
          <w:b/>
          <w:sz w:val="24"/>
        </w:rPr>
        <w:t>）</w:t>
      </w:r>
    </w:p>
    <w:p>
      <w:pPr>
        <w:spacing w:line="360" w:lineRule="auto"/>
        <w:ind w:firstLine="57"/>
        <w:jc w:val="center"/>
        <w:rPr>
          <w:rFonts w:ascii="华文细黑" w:hAnsi="华文细黑" w:eastAsia="华文细黑"/>
          <w:b/>
          <w:bCs/>
          <w:sz w:val="28"/>
          <w:szCs w:val="28"/>
        </w:rPr>
      </w:pPr>
      <w:r>
        <w:rPr>
          <w:rFonts w:hint="eastAsia" w:ascii="华文细黑" w:hAnsi="华文细黑" w:eastAsia="华文细黑"/>
          <w:b/>
          <w:bCs/>
          <w:sz w:val="28"/>
          <w:szCs w:val="28"/>
        </w:rPr>
        <w:t>太安农险农业保险数字化服务平台APP项目（2026-2027年度）项目报价单</w:t>
      </w:r>
    </w:p>
    <w:p>
      <w:pPr>
        <w:spacing w:line="360" w:lineRule="auto"/>
        <w:rPr>
          <w:rFonts w:ascii="华文细黑" w:hAnsi="华文细黑" w:eastAsia="华文细黑"/>
          <w:szCs w:val="21"/>
          <w:u w:val="single"/>
        </w:rPr>
      </w:pPr>
      <w:r>
        <w:rPr>
          <w:rFonts w:ascii="华文细黑" w:hAnsi="华文细黑" w:eastAsia="华文细黑"/>
          <w:b/>
          <w:szCs w:val="21"/>
        </w:rPr>
        <w:t>报价人</w:t>
      </w:r>
      <w:r>
        <w:rPr>
          <w:rFonts w:ascii="华文细黑" w:hAnsi="华文细黑" w:eastAsia="华文细黑"/>
          <w:szCs w:val="21"/>
        </w:rPr>
        <w:t>:</w:t>
      </w:r>
      <w:r>
        <w:rPr>
          <w:rFonts w:ascii="华文细黑" w:hAnsi="华文细黑" w:eastAsia="华文细黑"/>
          <w:szCs w:val="21"/>
          <w:u w:val="single"/>
        </w:rPr>
        <w:t xml:space="preserve">                       </w:t>
      </w:r>
      <w:r>
        <w:rPr>
          <w:rFonts w:ascii="华文细黑" w:hAnsi="华文细黑" w:eastAsia="华文细黑"/>
          <w:szCs w:val="21"/>
        </w:rPr>
        <w:t>公司</w:t>
      </w:r>
    </w:p>
    <w:p>
      <w:pPr>
        <w:spacing w:line="360" w:lineRule="auto"/>
        <w:rPr>
          <w:rFonts w:ascii="华文细黑" w:hAnsi="华文细黑" w:eastAsia="华文细黑"/>
          <w:szCs w:val="21"/>
          <w:u w:val="single"/>
        </w:rPr>
      </w:pPr>
      <w:r>
        <w:rPr>
          <w:rFonts w:ascii="华文细黑" w:hAnsi="华文细黑" w:eastAsia="华文细黑"/>
          <w:b/>
          <w:szCs w:val="21"/>
        </w:rPr>
        <w:t xml:space="preserve">联系人: </w:t>
      </w:r>
      <w:r>
        <w:rPr>
          <w:rFonts w:ascii="华文细黑" w:hAnsi="华文细黑" w:eastAsia="华文细黑"/>
          <w:b/>
          <w:szCs w:val="21"/>
          <w:u w:val="single"/>
        </w:rPr>
        <w:t xml:space="preserve">                      </w:t>
      </w:r>
    </w:p>
    <w:p>
      <w:pPr>
        <w:spacing w:line="360" w:lineRule="auto"/>
        <w:rPr>
          <w:rFonts w:ascii="华文细黑" w:hAnsi="华文细黑" w:eastAsia="华文细黑"/>
          <w:szCs w:val="21"/>
          <w:u w:val="single"/>
        </w:rPr>
      </w:pPr>
      <w:r>
        <w:rPr>
          <w:rFonts w:ascii="华文细黑" w:hAnsi="华文细黑" w:eastAsia="华文细黑"/>
          <w:b/>
          <w:szCs w:val="21"/>
        </w:rPr>
        <w:t>联系电话</w:t>
      </w:r>
      <w:r>
        <w:rPr>
          <w:rFonts w:ascii="华文细黑" w:hAnsi="华文细黑" w:eastAsia="华文细黑"/>
          <w:szCs w:val="21"/>
        </w:rPr>
        <w:t>:</w:t>
      </w:r>
      <w:r>
        <w:rPr>
          <w:rFonts w:ascii="华文细黑" w:hAnsi="华文细黑" w:eastAsia="华文细黑"/>
          <w:szCs w:val="21"/>
          <w:u w:val="single"/>
        </w:rPr>
        <w:t xml:space="preserve">                       </w:t>
      </w:r>
    </w:p>
    <w:p>
      <w:pPr>
        <w:spacing w:line="700" w:lineRule="exact"/>
        <w:rPr>
          <w:rFonts w:ascii="华文细黑" w:hAnsi="华文细黑" w:eastAsia="华文细黑"/>
          <w:b/>
          <w:bCs/>
          <w:sz w:val="28"/>
          <w:szCs w:val="28"/>
        </w:rPr>
      </w:pPr>
      <w:r>
        <w:rPr>
          <w:rFonts w:ascii="华文细黑" w:hAnsi="华文细黑" w:eastAsia="华文细黑"/>
          <w:szCs w:val="21"/>
        </w:rPr>
        <w:t>回应贵公司的</w:t>
      </w:r>
      <w:r>
        <w:rPr>
          <w:rFonts w:hint="eastAsia" w:ascii="华文细黑" w:hAnsi="华文细黑" w:eastAsia="华文细黑"/>
          <w:szCs w:val="21"/>
          <w:lang w:val="en-US" w:eastAsia="zh-CN"/>
        </w:rPr>
        <w:t>竞价公告</w:t>
      </w:r>
      <w:r>
        <w:rPr>
          <w:rFonts w:ascii="华文细黑" w:hAnsi="华文细黑" w:eastAsia="华文细黑"/>
          <w:szCs w:val="21"/>
        </w:rPr>
        <w:t>，我公司报价如下：</w:t>
      </w:r>
    </w:p>
    <w:tbl>
      <w:tblPr>
        <w:tblStyle w:val="11"/>
        <w:tblW w:w="8852" w:type="dxa"/>
        <w:tblInd w:w="-118" w:type="dxa"/>
        <w:tblLayout w:type="fixed"/>
        <w:tblCellMar>
          <w:top w:w="0" w:type="dxa"/>
          <w:left w:w="108" w:type="dxa"/>
          <w:bottom w:w="0" w:type="dxa"/>
          <w:right w:w="108" w:type="dxa"/>
        </w:tblCellMar>
      </w:tblPr>
      <w:tblGrid>
        <w:gridCol w:w="1808"/>
        <w:gridCol w:w="1868"/>
        <w:gridCol w:w="925"/>
        <w:gridCol w:w="1875"/>
        <w:gridCol w:w="1116"/>
        <w:gridCol w:w="1260"/>
      </w:tblGrid>
      <w:tr>
        <w:tblPrEx>
          <w:tblLayout w:type="fixed"/>
          <w:tblCellMar>
            <w:top w:w="0" w:type="dxa"/>
            <w:left w:w="108" w:type="dxa"/>
            <w:bottom w:w="0" w:type="dxa"/>
            <w:right w:w="108" w:type="dxa"/>
          </w:tblCellMar>
        </w:tblPrEx>
        <w:trPr>
          <w:trHeight w:val="405" w:hRule="atLeast"/>
        </w:trPr>
        <w:tc>
          <w:tcPr>
            <w:tcW w:w="1808" w:type="dxa"/>
            <w:tcBorders>
              <w:top w:val="single" w:color="auto" w:sz="8" w:space="0"/>
              <w:left w:val="single" w:color="auto" w:sz="8" w:space="0"/>
              <w:bottom w:val="single" w:color="auto" w:sz="8" w:space="0"/>
              <w:right w:val="single" w:color="auto" w:sz="8" w:space="0"/>
            </w:tcBorders>
            <w:vAlign w:val="bottom"/>
          </w:tcPr>
          <w:p>
            <w:pPr>
              <w:widowControl/>
              <w:jc w:val="center"/>
              <w:rPr>
                <w:rFonts w:ascii="华文细黑" w:hAnsi="华文细黑" w:eastAsia="华文细黑" w:cs="宋体"/>
                <w:b/>
                <w:bCs/>
                <w:kern w:val="0"/>
                <w:sz w:val="24"/>
              </w:rPr>
            </w:pPr>
            <w:r>
              <w:rPr>
                <w:rFonts w:hint="eastAsia" w:ascii="华文细黑" w:hAnsi="华文细黑" w:eastAsia="华文细黑" w:cs="宋体"/>
                <w:b/>
                <w:bCs/>
                <w:kern w:val="0"/>
                <w:sz w:val="24"/>
              </w:rPr>
              <w:t>服务名称</w:t>
            </w:r>
          </w:p>
        </w:tc>
        <w:tc>
          <w:tcPr>
            <w:tcW w:w="1868" w:type="dxa"/>
            <w:tcBorders>
              <w:top w:val="single" w:color="auto" w:sz="8" w:space="0"/>
              <w:left w:val="nil"/>
              <w:bottom w:val="single" w:color="auto" w:sz="8" w:space="0"/>
              <w:right w:val="single" w:color="auto" w:sz="8" w:space="0"/>
            </w:tcBorders>
            <w:vAlign w:val="bottom"/>
          </w:tcPr>
          <w:p>
            <w:pPr>
              <w:widowControl/>
              <w:jc w:val="center"/>
              <w:rPr>
                <w:rFonts w:hint="eastAsia" w:ascii="华文细黑" w:hAnsi="华文细黑" w:eastAsia="华文细黑" w:cs="宋体"/>
                <w:b/>
                <w:bCs/>
                <w:kern w:val="0"/>
                <w:sz w:val="24"/>
                <w:lang w:eastAsia="zh-CN"/>
              </w:rPr>
            </w:pPr>
            <w:r>
              <w:rPr>
                <w:rFonts w:hint="eastAsia" w:ascii="华文细黑" w:hAnsi="华文细黑" w:eastAsia="华文细黑" w:cs="宋体"/>
                <w:b/>
                <w:bCs/>
                <w:kern w:val="0"/>
                <w:sz w:val="24"/>
                <w:lang w:val="en-US" w:eastAsia="zh-CN"/>
              </w:rPr>
              <w:t>功能</w:t>
            </w:r>
          </w:p>
        </w:tc>
        <w:tc>
          <w:tcPr>
            <w:tcW w:w="925" w:type="dxa"/>
            <w:tcBorders>
              <w:top w:val="single" w:color="auto" w:sz="8" w:space="0"/>
              <w:left w:val="nil"/>
              <w:bottom w:val="single" w:color="auto" w:sz="8" w:space="0"/>
              <w:right w:val="single" w:color="auto" w:sz="8" w:space="0"/>
            </w:tcBorders>
            <w:vAlign w:val="bottom"/>
          </w:tcPr>
          <w:p>
            <w:pPr>
              <w:widowControl/>
              <w:jc w:val="center"/>
              <w:rPr>
                <w:rFonts w:hint="eastAsia" w:ascii="华文细黑" w:hAnsi="华文细黑" w:eastAsia="华文细黑" w:cs="宋体"/>
                <w:b/>
                <w:bCs/>
                <w:kern w:val="0"/>
                <w:sz w:val="24"/>
                <w:lang w:val="en-US" w:eastAsia="zh-CN"/>
              </w:rPr>
            </w:pPr>
            <w:r>
              <w:rPr>
                <w:rFonts w:hint="eastAsia" w:ascii="华文细黑" w:hAnsi="华文细黑" w:eastAsia="华文细黑" w:cs="宋体"/>
                <w:b/>
                <w:bCs/>
                <w:kern w:val="0"/>
                <w:sz w:val="24"/>
                <w:lang w:val="en-US" w:eastAsia="zh-CN"/>
              </w:rPr>
              <w:t>单价</w:t>
            </w:r>
          </w:p>
        </w:tc>
        <w:tc>
          <w:tcPr>
            <w:tcW w:w="1875" w:type="dxa"/>
            <w:tcBorders>
              <w:top w:val="single" w:color="auto" w:sz="8" w:space="0"/>
              <w:left w:val="nil"/>
              <w:bottom w:val="single" w:color="auto" w:sz="8" w:space="0"/>
              <w:right w:val="single" w:color="auto" w:sz="8" w:space="0"/>
            </w:tcBorders>
            <w:vAlign w:val="bottom"/>
          </w:tcPr>
          <w:p>
            <w:pPr>
              <w:widowControl/>
              <w:jc w:val="center"/>
              <w:rPr>
                <w:rFonts w:hint="eastAsia" w:ascii="华文细黑" w:hAnsi="华文细黑" w:eastAsia="华文细黑" w:cs="宋体"/>
                <w:b/>
                <w:bCs/>
                <w:kern w:val="0"/>
                <w:sz w:val="24"/>
                <w:lang w:eastAsia="zh-CN"/>
              </w:rPr>
            </w:pPr>
            <w:r>
              <w:rPr>
                <w:rFonts w:hint="eastAsia" w:ascii="华文细黑" w:hAnsi="华文细黑" w:eastAsia="华文细黑" w:cs="宋体"/>
                <w:b/>
                <w:bCs/>
                <w:kern w:val="0"/>
                <w:sz w:val="24"/>
              </w:rPr>
              <w:t>数量</w:t>
            </w:r>
            <w:r>
              <w:rPr>
                <w:rFonts w:hint="eastAsia" w:ascii="华文细黑" w:hAnsi="华文细黑" w:eastAsia="华文细黑" w:cs="宋体"/>
                <w:b/>
                <w:bCs/>
                <w:kern w:val="0"/>
                <w:sz w:val="24"/>
                <w:lang w:eastAsia="zh-CN"/>
              </w:rPr>
              <w:t>（</w:t>
            </w:r>
            <w:r>
              <w:rPr>
                <w:rFonts w:hint="eastAsia" w:ascii="华文细黑" w:hAnsi="华文细黑" w:eastAsia="华文细黑" w:cs="宋体"/>
                <w:b/>
                <w:bCs/>
                <w:kern w:val="0"/>
                <w:sz w:val="24"/>
                <w:lang w:val="en-US" w:eastAsia="zh-CN"/>
              </w:rPr>
              <w:t>人/月</w:t>
            </w:r>
            <w:r>
              <w:rPr>
                <w:rFonts w:hint="eastAsia" w:ascii="华文细黑" w:hAnsi="华文细黑" w:eastAsia="华文细黑" w:cs="宋体"/>
                <w:b/>
                <w:bCs/>
                <w:kern w:val="0"/>
                <w:sz w:val="24"/>
                <w:lang w:eastAsia="zh-CN"/>
              </w:rPr>
              <w:t>）</w:t>
            </w:r>
          </w:p>
        </w:tc>
        <w:tc>
          <w:tcPr>
            <w:tcW w:w="1116" w:type="dxa"/>
            <w:tcBorders>
              <w:top w:val="single" w:color="auto" w:sz="8" w:space="0"/>
              <w:left w:val="nil"/>
              <w:bottom w:val="single" w:color="auto" w:sz="8" w:space="0"/>
              <w:right w:val="single" w:color="auto" w:sz="8" w:space="0"/>
            </w:tcBorders>
            <w:vAlign w:val="bottom"/>
          </w:tcPr>
          <w:p>
            <w:pPr>
              <w:widowControl/>
              <w:jc w:val="center"/>
              <w:rPr>
                <w:rFonts w:ascii="华文细黑" w:hAnsi="华文细黑" w:eastAsia="华文细黑" w:cs="宋体"/>
                <w:b/>
                <w:bCs/>
                <w:kern w:val="0"/>
                <w:sz w:val="24"/>
              </w:rPr>
            </w:pPr>
            <w:r>
              <w:rPr>
                <w:rFonts w:hint="eastAsia" w:ascii="华文细黑" w:hAnsi="华文细黑" w:eastAsia="华文细黑" w:cs="宋体"/>
                <w:b/>
                <w:bCs/>
                <w:kern w:val="0"/>
                <w:sz w:val="24"/>
              </w:rPr>
              <w:t>价格</w:t>
            </w:r>
          </w:p>
        </w:tc>
        <w:tc>
          <w:tcPr>
            <w:tcW w:w="1260" w:type="dxa"/>
            <w:tcBorders>
              <w:top w:val="single" w:color="auto" w:sz="8" w:space="0"/>
              <w:left w:val="nil"/>
              <w:bottom w:val="single" w:color="auto" w:sz="8" w:space="0"/>
              <w:right w:val="single" w:color="auto" w:sz="8" w:space="0"/>
            </w:tcBorders>
            <w:vAlign w:val="bottom"/>
          </w:tcPr>
          <w:p>
            <w:pPr>
              <w:widowControl/>
              <w:jc w:val="center"/>
              <w:rPr>
                <w:rFonts w:ascii="华文细黑" w:hAnsi="华文细黑" w:eastAsia="华文细黑" w:cs="宋体"/>
                <w:b/>
                <w:bCs/>
                <w:kern w:val="0"/>
                <w:sz w:val="24"/>
              </w:rPr>
            </w:pPr>
            <w:r>
              <w:rPr>
                <w:rFonts w:hint="eastAsia" w:ascii="华文细黑" w:hAnsi="华文细黑" w:eastAsia="华文细黑" w:cs="宋体"/>
                <w:b/>
                <w:bCs/>
                <w:kern w:val="0"/>
                <w:sz w:val="24"/>
              </w:rPr>
              <w:t>补充说明</w:t>
            </w:r>
          </w:p>
        </w:tc>
      </w:tr>
      <w:tr>
        <w:tblPrEx>
          <w:tblLayout w:type="fixed"/>
          <w:tblCellMar>
            <w:top w:w="0" w:type="dxa"/>
            <w:left w:w="108" w:type="dxa"/>
            <w:bottom w:w="0" w:type="dxa"/>
            <w:right w:w="108" w:type="dxa"/>
          </w:tblCellMar>
        </w:tblPrEx>
        <w:trPr>
          <w:trHeight w:val="285" w:hRule="atLeast"/>
        </w:trPr>
        <w:tc>
          <w:tcPr>
            <w:tcW w:w="1808" w:type="dxa"/>
            <w:vMerge w:val="restart"/>
            <w:tcBorders>
              <w:top w:val="nil"/>
              <w:left w:val="single" w:color="auto" w:sz="8" w:space="0"/>
              <w:bottom w:val="single" w:color="000000" w:sz="8" w:space="0"/>
              <w:right w:val="single" w:color="auto" w:sz="8" w:space="0"/>
            </w:tcBorders>
            <w:vAlign w:val="bottom"/>
          </w:tcPr>
          <w:p>
            <w:pPr>
              <w:widowControl/>
              <w:rPr>
                <w:rFonts w:ascii="华文细黑" w:hAnsi="华文细黑" w:eastAsia="华文细黑" w:cs="宋体"/>
                <w:kern w:val="0"/>
                <w:sz w:val="20"/>
                <w:szCs w:val="20"/>
              </w:rPr>
            </w:pPr>
            <w:r>
              <w:rPr>
                <w:rFonts w:hint="eastAsia" w:ascii="华文细黑" w:hAnsi="华文细黑" w:eastAsia="华文细黑" w:cs="宋体"/>
                <w:kern w:val="0"/>
                <w:sz w:val="20"/>
                <w:szCs w:val="20"/>
              </w:rPr>
              <w:t>（请填写相关服务条目）</w:t>
            </w:r>
          </w:p>
        </w:tc>
        <w:tc>
          <w:tcPr>
            <w:tcW w:w="1868" w:type="dxa"/>
            <w:tcBorders>
              <w:top w:val="nil"/>
              <w:left w:val="nil"/>
              <w:bottom w:val="single" w:color="000000" w:sz="8" w:space="0"/>
              <w:right w:val="single" w:color="auto" w:sz="8" w:space="0"/>
            </w:tcBorders>
            <w:vAlign w:val="bottom"/>
          </w:tcPr>
          <w:p>
            <w:pPr>
              <w:widowControl/>
              <w:jc w:val="left"/>
              <w:rPr>
                <w:rFonts w:ascii="华文细黑" w:hAnsi="华文细黑" w:eastAsia="华文细黑" w:cs="宋体"/>
                <w:kern w:val="0"/>
                <w:sz w:val="20"/>
                <w:szCs w:val="20"/>
              </w:rPr>
            </w:pPr>
            <w:r>
              <w:rPr>
                <w:rFonts w:hint="eastAsia" w:ascii="华文细黑" w:hAnsi="华文细黑" w:eastAsia="华文细黑" w:cs="宋体"/>
                <w:kern w:val="0"/>
                <w:sz w:val="20"/>
                <w:szCs w:val="20"/>
              </w:rPr>
              <w:t>　</w:t>
            </w:r>
          </w:p>
        </w:tc>
        <w:tc>
          <w:tcPr>
            <w:tcW w:w="925" w:type="dxa"/>
            <w:tcBorders>
              <w:top w:val="nil"/>
              <w:left w:val="nil"/>
              <w:bottom w:val="single" w:color="000000" w:sz="8" w:space="0"/>
              <w:right w:val="single" w:color="auto" w:sz="8" w:space="0"/>
            </w:tcBorders>
            <w:vAlign w:val="bottom"/>
          </w:tcPr>
          <w:p>
            <w:pPr>
              <w:widowControl/>
              <w:jc w:val="left"/>
              <w:rPr>
                <w:rFonts w:ascii="宋体" w:hAnsi="宋体" w:cs="宋体"/>
                <w:kern w:val="0"/>
                <w:szCs w:val="21"/>
              </w:rPr>
            </w:pPr>
            <w:r>
              <w:rPr>
                <w:rFonts w:hint="eastAsia" w:ascii="宋体" w:hAnsi="宋体" w:cs="宋体"/>
                <w:kern w:val="0"/>
                <w:szCs w:val="21"/>
              </w:rPr>
              <w:t>　</w:t>
            </w:r>
          </w:p>
        </w:tc>
        <w:tc>
          <w:tcPr>
            <w:tcW w:w="1875" w:type="dxa"/>
            <w:tcBorders>
              <w:top w:val="nil"/>
              <w:left w:val="nil"/>
              <w:bottom w:val="single" w:color="000000" w:sz="8" w:space="0"/>
              <w:right w:val="single" w:color="auto" w:sz="8" w:space="0"/>
            </w:tcBorders>
            <w:vAlign w:val="bottom"/>
          </w:tcPr>
          <w:p>
            <w:pPr>
              <w:widowControl/>
              <w:jc w:val="left"/>
              <w:rPr>
                <w:rFonts w:ascii="宋体" w:hAnsi="宋体" w:cs="宋体"/>
                <w:kern w:val="0"/>
                <w:szCs w:val="21"/>
              </w:rPr>
            </w:pPr>
            <w:r>
              <w:rPr>
                <w:rFonts w:hint="eastAsia" w:ascii="宋体" w:hAnsi="宋体" w:cs="宋体"/>
                <w:kern w:val="0"/>
                <w:szCs w:val="21"/>
              </w:rPr>
              <w:t>　</w:t>
            </w:r>
          </w:p>
        </w:tc>
        <w:tc>
          <w:tcPr>
            <w:tcW w:w="1116" w:type="dxa"/>
            <w:tcBorders>
              <w:top w:val="nil"/>
              <w:left w:val="nil"/>
              <w:bottom w:val="single" w:color="000000" w:sz="8" w:space="0"/>
              <w:right w:val="single" w:color="auto" w:sz="8" w:space="0"/>
            </w:tcBorders>
            <w:vAlign w:val="bottom"/>
          </w:tcPr>
          <w:p>
            <w:pPr>
              <w:widowControl/>
              <w:rPr>
                <w:rFonts w:ascii="华文细黑" w:hAnsi="华文细黑" w:eastAsia="华文细黑" w:cs="宋体"/>
                <w:kern w:val="0"/>
                <w:sz w:val="20"/>
                <w:szCs w:val="20"/>
              </w:rPr>
            </w:pPr>
            <w:r>
              <w:rPr>
                <w:rFonts w:hint="eastAsia" w:ascii="华文细黑" w:hAnsi="华文细黑" w:eastAsia="华文细黑" w:cs="宋体"/>
                <w:kern w:val="0"/>
                <w:sz w:val="20"/>
                <w:szCs w:val="20"/>
              </w:rPr>
              <w:t>　</w:t>
            </w:r>
          </w:p>
        </w:tc>
        <w:tc>
          <w:tcPr>
            <w:tcW w:w="1260" w:type="dxa"/>
            <w:tcBorders>
              <w:top w:val="nil"/>
              <w:left w:val="nil"/>
              <w:bottom w:val="single" w:color="000000" w:sz="8" w:space="0"/>
              <w:right w:val="single" w:color="auto" w:sz="8" w:space="0"/>
            </w:tcBorders>
            <w:vAlign w:val="bottom"/>
          </w:tcPr>
          <w:p>
            <w:pPr>
              <w:widowControl/>
              <w:jc w:val="left"/>
              <w:rPr>
                <w:rFonts w:ascii="宋体" w:hAnsi="宋体" w:cs="宋体"/>
                <w:kern w:val="0"/>
                <w:szCs w:val="21"/>
              </w:rPr>
            </w:pPr>
            <w:r>
              <w:rPr>
                <w:rFonts w:hint="eastAsia" w:ascii="宋体" w:hAnsi="宋体" w:cs="宋体"/>
                <w:kern w:val="0"/>
                <w:szCs w:val="21"/>
              </w:rPr>
              <w:t>　</w:t>
            </w:r>
          </w:p>
        </w:tc>
      </w:tr>
      <w:tr>
        <w:tblPrEx>
          <w:tblLayout w:type="fixed"/>
          <w:tblCellMar>
            <w:top w:w="0" w:type="dxa"/>
            <w:left w:w="108" w:type="dxa"/>
            <w:bottom w:w="0" w:type="dxa"/>
            <w:right w:w="108" w:type="dxa"/>
          </w:tblCellMar>
        </w:tblPrEx>
        <w:trPr>
          <w:trHeight w:val="285" w:hRule="atLeast"/>
        </w:trPr>
        <w:tc>
          <w:tcPr>
            <w:tcW w:w="1808" w:type="dxa"/>
            <w:vMerge w:val="continue"/>
            <w:tcBorders>
              <w:top w:val="nil"/>
              <w:left w:val="single" w:color="auto" w:sz="8" w:space="0"/>
              <w:bottom w:val="single" w:color="000000" w:sz="8" w:space="0"/>
              <w:right w:val="single" w:color="auto" w:sz="8" w:space="0"/>
            </w:tcBorders>
            <w:vAlign w:val="center"/>
          </w:tcPr>
          <w:p>
            <w:pPr>
              <w:widowControl/>
              <w:jc w:val="left"/>
              <w:rPr>
                <w:rFonts w:ascii="华文细黑" w:hAnsi="华文细黑" w:eastAsia="华文细黑" w:cs="宋体"/>
                <w:kern w:val="0"/>
                <w:sz w:val="20"/>
                <w:szCs w:val="20"/>
              </w:rPr>
            </w:pPr>
          </w:p>
        </w:tc>
        <w:tc>
          <w:tcPr>
            <w:tcW w:w="1868" w:type="dxa"/>
            <w:tcBorders>
              <w:top w:val="nil"/>
              <w:left w:val="nil"/>
              <w:bottom w:val="single" w:color="auto" w:sz="8" w:space="0"/>
              <w:right w:val="single" w:color="auto" w:sz="8" w:space="0"/>
            </w:tcBorders>
            <w:vAlign w:val="bottom"/>
          </w:tcPr>
          <w:p>
            <w:pPr>
              <w:widowControl/>
              <w:jc w:val="left"/>
              <w:rPr>
                <w:rFonts w:ascii="华文细黑" w:hAnsi="华文细黑" w:eastAsia="华文细黑" w:cs="宋体"/>
                <w:kern w:val="0"/>
                <w:sz w:val="20"/>
                <w:szCs w:val="20"/>
              </w:rPr>
            </w:pPr>
            <w:r>
              <w:rPr>
                <w:rFonts w:hint="eastAsia" w:ascii="华文细黑" w:hAnsi="华文细黑" w:eastAsia="华文细黑" w:cs="宋体"/>
                <w:kern w:val="0"/>
                <w:sz w:val="20"/>
                <w:szCs w:val="20"/>
              </w:rPr>
              <w:t>　</w:t>
            </w:r>
          </w:p>
        </w:tc>
        <w:tc>
          <w:tcPr>
            <w:tcW w:w="925" w:type="dxa"/>
            <w:tcBorders>
              <w:top w:val="nil"/>
              <w:left w:val="nil"/>
              <w:bottom w:val="single" w:color="auto" w:sz="8" w:space="0"/>
              <w:right w:val="single" w:color="auto" w:sz="8" w:space="0"/>
            </w:tcBorders>
            <w:vAlign w:val="bottom"/>
          </w:tcPr>
          <w:p>
            <w:pPr>
              <w:widowControl/>
              <w:jc w:val="center"/>
              <w:rPr>
                <w:rFonts w:ascii="华文细黑" w:hAnsi="华文细黑" w:eastAsia="华文细黑" w:cs="宋体"/>
                <w:kern w:val="0"/>
                <w:sz w:val="20"/>
                <w:szCs w:val="20"/>
              </w:rPr>
            </w:pPr>
            <w:r>
              <w:rPr>
                <w:rFonts w:hint="eastAsia" w:ascii="华文细黑" w:hAnsi="华文细黑" w:eastAsia="华文细黑" w:cs="宋体"/>
                <w:kern w:val="0"/>
                <w:sz w:val="20"/>
                <w:szCs w:val="20"/>
              </w:rPr>
              <w:t>　</w:t>
            </w:r>
          </w:p>
        </w:tc>
        <w:tc>
          <w:tcPr>
            <w:tcW w:w="1875" w:type="dxa"/>
            <w:tcBorders>
              <w:top w:val="nil"/>
              <w:left w:val="nil"/>
              <w:bottom w:val="single" w:color="auto" w:sz="8" w:space="0"/>
              <w:right w:val="single" w:color="auto" w:sz="8" w:space="0"/>
            </w:tcBorders>
            <w:vAlign w:val="bottom"/>
          </w:tcPr>
          <w:p>
            <w:pPr>
              <w:widowControl/>
              <w:jc w:val="center"/>
              <w:rPr>
                <w:rFonts w:ascii="华文细黑" w:hAnsi="华文细黑" w:eastAsia="华文细黑" w:cs="宋体"/>
                <w:kern w:val="0"/>
                <w:sz w:val="20"/>
                <w:szCs w:val="20"/>
              </w:rPr>
            </w:pPr>
            <w:r>
              <w:rPr>
                <w:rFonts w:hint="eastAsia" w:ascii="华文细黑" w:hAnsi="华文细黑" w:eastAsia="华文细黑" w:cs="宋体"/>
                <w:kern w:val="0"/>
                <w:sz w:val="20"/>
                <w:szCs w:val="20"/>
              </w:rPr>
              <w:t>　</w:t>
            </w:r>
          </w:p>
        </w:tc>
        <w:tc>
          <w:tcPr>
            <w:tcW w:w="1116" w:type="dxa"/>
            <w:tcBorders>
              <w:top w:val="nil"/>
              <w:left w:val="nil"/>
              <w:bottom w:val="single" w:color="auto" w:sz="8" w:space="0"/>
              <w:right w:val="single" w:color="auto" w:sz="8" w:space="0"/>
            </w:tcBorders>
            <w:vAlign w:val="bottom"/>
          </w:tcPr>
          <w:p>
            <w:pPr>
              <w:widowControl/>
              <w:jc w:val="center"/>
              <w:rPr>
                <w:rFonts w:ascii="华文细黑" w:hAnsi="华文细黑" w:eastAsia="华文细黑" w:cs="宋体"/>
                <w:kern w:val="0"/>
                <w:sz w:val="20"/>
                <w:szCs w:val="20"/>
              </w:rPr>
            </w:pPr>
            <w:r>
              <w:rPr>
                <w:rFonts w:hint="eastAsia" w:ascii="华文细黑" w:hAnsi="华文细黑" w:eastAsia="华文细黑" w:cs="宋体"/>
                <w:kern w:val="0"/>
                <w:sz w:val="20"/>
                <w:szCs w:val="20"/>
              </w:rPr>
              <w:t>　</w:t>
            </w:r>
          </w:p>
        </w:tc>
        <w:tc>
          <w:tcPr>
            <w:tcW w:w="1260" w:type="dxa"/>
            <w:tcBorders>
              <w:top w:val="nil"/>
              <w:left w:val="nil"/>
              <w:bottom w:val="single" w:color="auto" w:sz="8" w:space="0"/>
              <w:right w:val="single" w:color="auto" w:sz="8" w:space="0"/>
            </w:tcBorders>
            <w:vAlign w:val="bottom"/>
          </w:tcPr>
          <w:p>
            <w:pPr>
              <w:widowControl/>
              <w:jc w:val="left"/>
              <w:rPr>
                <w:rFonts w:ascii="华文细黑" w:hAnsi="华文细黑" w:eastAsia="华文细黑" w:cs="宋体"/>
                <w:kern w:val="0"/>
                <w:sz w:val="20"/>
                <w:szCs w:val="20"/>
              </w:rPr>
            </w:pPr>
            <w:r>
              <w:rPr>
                <w:rFonts w:hint="eastAsia" w:ascii="华文细黑" w:hAnsi="华文细黑" w:eastAsia="华文细黑" w:cs="宋体"/>
                <w:kern w:val="0"/>
                <w:sz w:val="20"/>
                <w:szCs w:val="20"/>
              </w:rPr>
              <w:t>　</w:t>
            </w:r>
          </w:p>
        </w:tc>
      </w:tr>
      <w:tr>
        <w:tblPrEx>
          <w:tblLayout w:type="fixed"/>
          <w:tblCellMar>
            <w:top w:w="0" w:type="dxa"/>
            <w:left w:w="108" w:type="dxa"/>
            <w:bottom w:w="0" w:type="dxa"/>
            <w:right w:w="108" w:type="dxa"/>
          </w:tblCellMar>
        </w:tblPrEx>
        <w:trPr>
          <w:trHeight w:val="285" w:hRule="atLeast"/>
        </w:trPr>
        <w:tc>
          <w:tcPr>
            <w:tcW w:w="1808" w:type="dxa"/>
            <w:vMerge w:val="continue"/>
            <w:tcBorders>
              <w:top w:val="nil"/>
              <w:left w:val="single" w:color="auto" w:sz="8" w:space="0"/>
              <w:bottom w:val="single" w:color="000000" w:sz="8" w:space="0"/>
              <w:right w:val="single" w:color="auto" w:sz="8" w:space="0"/>
            </w:tcBorders>
            <w:vAlign w:val="center"/>
          </w:tcPr>
          <w:p>
            <w:pPr>
              <w:widowControl/>
              <w:jc w:val="left"/>
              <w:rPr>
                <w:rFonts w:ascii="华文细黑" w:hAnsi="华文细黑" w:eastAsia="华文细黑" w:cs="宋体"/>
                <w:kern w:val="0"/>
                <w:sz w:val="20"/>
                <w:szCs w:val="20"/>
              </w:rPr>
            </w:pPr>
          </w:p>
        </w:tc>
        <w:tc>
          <w:tcPr>
            <w:tcW w:w="1868" w:type="dxa"/>
            <w:tcBorders>
              <w:top w:val="nil"/>
              <w:left w:val="nil"/>
              <w:bottom w:val="single" w:color="auto" w:sz="8" w:space="0"/>
              <w:right w:val="single" w:color="auto" w:sz="8" w:space="0"/>
            </w:tcBorders>
            <w:vAlign w:val="bottom"/>
          </w:tcPr>
          <w:p>
            <w:pPr>
              <w:widowControl/>
              <w:jc w:val="left"/>
              <w:rPr>
                <w:rFonts w:ascii="华文细黑" w:hAnsi="华文细黑" w:eastAsia="华文细黑" w:cs="宋体"/>
                <w:kern w:val="0"/>
                <w:sz w:val="20"/>
                <w:szCs w:val="20"/>
              </w:rPr>
            </w:pPr>
            <w:r>
              <w:rPr>
                <w:rFonts w:hint="eastAsia" w:ascii="华文细黑" w:hAnsi="华文细黑" w:eastAsia="华文细黑" w:cs="宋体"/>
                <w:kern w:val="0"/>
                <w:sz w:val="20"/>
                <w:szCs w:val="20"/>
              </w:rPr>
              <w:t>　</w:t>
            </w:r>
          </w:p>
        </w:tc>
        <w:tc>
          <w:tcPr>
            <w:tcW w:w="925" w:type="dxa"/>
            <w:tcBorders>
              <w:top w:val="nil"/>
              <w:left w:val="nil"/>
              <w:bottom w:val="single" w:color="auto" w:sz="8" w:space="0"/>
              <w:right w:val="single" w:color="auto" w:sz="8" w:space="0"/>
            </w:tcBorders>
            <w:vAlign w:val="bottom"/>
          </w:tcPr>
          <w:p>
            <w:pPr>
              <w:widowControl/>
              <w:jc w:val="center"/>
              <w:rPr>
                <w:rFonts w:ascii="华文细黑" w:hAnsi="华文细黑" w:eastAsia="华文细黑" w:cs="宋体"/>
                <w:kern w:val="0"/>
                <w:sz w:val="20"/>
                <w:szCs w:val="20"/>
              </w:rPr>
            </w:pPr>
            <w:r>
              <w:rPr>
                <w:rFonts w:hint="eastAsia" w:ascii="华文细黑" w:hAnsi="华文细黑" w:eastAsia="华文细黑" w:cs="宋体"/>
                <w:kern w:val="0"/>
                <w:sz w:val="20"/>
                <w:szCs w:val="20"/>
              </w:rPr>
              <w:t>　</w:t>
            </w:r>
          </w:p>
        </w:tc>
        <w:tc>
          <w:tcPr>
            <w:tcW w:w="1875" w:type="dxa"/>
            <w:tcBorders>
              <w:top w:val="nil"/>
              <w:left w:val="nil"/>
              <w:bottom w:val="single" w:color="auto" w:sz="8" w:space="0"/>
              <w:right w:val="single" w:color="auto" w:sz="8" w:space="0"/>
            </w:tcBorders>
            <w:vAlign w:val="bottom"/>
          </w:tcPr>
          <w:p>
            <w:pPr>
              <w:widowControl/>
              <w:jc w:val="center"/>
              <w:rPr>
                <w:rFonts w:ascii="华文细黑" w:hAnsi="华文细黑" w:eastAsia="华文细黑" w:cs="宋体"/>
                <w:kern w:val="0"/>
                <w:sz w:val="20"/>
                <w:szCs w:val="20"/>
              </w:rPr>
            </w:pPr>
            <w:r>
              <w:rPr>
                <w:rFonts w:hint="eastAsia" w:ascii="华文细黑" w:hAnsi="华文细黑" w:eastAsia="华文细黑" w:cs="宋体"/>
                <w:kern w:val="0"/>
                <w:sz w:val="20"/>
                <w:szCs w:val="20"/>
              </w:rPr>
              <w:t>　</w:t>
            </w:r>
          </w:p>
        </w:tc>
        <w:tc>
          <w:tcPr>
            <w:tcW w:w="1116" w:type="dxa"/>
            <w:tcBorders>
              <w:top w:val="nil"/>
              <w:left w:val="nil"/>
              <w:bottom w:val="single" w:color="auto" w:sz="8" w:space="0"/>
              <w:right w:val="single" w:color="auto" w:sz="8" w:space="0"/>
            </w:tcBorders>
            <w:vAlign w:val="bottom"/>
          </w:tcPr>
          <w:p>
            <w:pPr>
              <w:widowControl/>
              <w:jc w:val="center"/>
              <w:rPr>
                <w:rFonts w:ascii="华文细黑" w:hAnsi="华文细黑" w:eastAsia="华文细黑" w:cs="宋体"/>
                <w:kern w:val="0"/>
                <w:sz w:val="20"/>
                <w:szCs w:val="20"/>
              </w:rPr>
            </w:pPr>
            <w:r>
              <w:rPr>
                <w:rFonts w:hint="eastAsia" w:ascii="华文细黑" w:hAnsi="华文细黑" w:eastAsia="华文细黑" w:cs="宋体"/>
                <w:kern w:val="0"/>
                <w:sz w:val="20"/>
                <w:szCs w:val="20"/>
              </w:rPr>
              <w:t>　</w:t>
            </w:r>
          </w:p>
        </w:tc>
        <w:tc>
          <w:tcPr>
            <w:tcW w:w="1260" w:type="dxa"/>
            <w:tcBorders>
              <w:top w:val="nil"/>
              <w:left w:val="nil"/>
              <w:bottom w:val="single" w:color="auto" w:sz="8" w:space="0"/>
              <w:right w:val="single" w:color="auto" w:sz="8" w:space="0"/>
            </w:tcBorders>
            <w:vAlign w:val="bottom"/>
          </w:tcPr>
          <w:p>
            <w:pPr>
              <w:widowControl/>
              <w:jc w:val="left"/>
              <w:rPr>
                <w:rFonts w:ascii="华文细黑" w:hAnsi="华文细黑" w:eastAsia="华文细黑" w:cs="宋体"/>
                <w:kern w:val="0"/>
                <w:sz w:val="20"/>
                <w:szCs w:val="20"/>
              </w:rPr>
            </w:pPr>
            <w:r>
              <w:rPr>
                <w:rFonts w:hint="eastAsia" w:ascii="华文细黑" w:hAnsi="华文细黑" w:eastAsia="华文细黑" w:cs="宋体"/>
                <w:kern w:val="0"/>
                <w:sz w:val="20"/>
                <w:szCs w:val="20"/>
              </w:rPr>
              <w:t>　</w:t>
            </w:r>
          </w:p>
        </w:tc>
      </w:tr>
      <w:tr>
        <w:tblPrEx>
          <w:tblLayout w:type="fixed"/>
          <w:tblCellMar>
            <w:top w:w="0" w:type="dxa"/>
            <w:left w:w="108" w:type="dxa"/>
            <w:bottom w:w="0" w:type="dxa"/>
            <w:right w:w="108" w:type="dxa"/>
          </w:tblCellMar>
        </w:tblPrEx>
        <w:trPr>
          <w:trHeight w:val="780" w:hRule="atLeast"/>
        </w:trPr>
        <w:tc>
          <w:tcPr>
            <w:tcW w:w="1808" w:type="dxa"/>
            <w:tcBorders>
              <w:top w:val="nil"/>
              <w:left w:val="single" w:color="auto" w:sz="8" w:space="0"/>
              <w:bottom w:val="single" w:color="auto" w:sz="8" w:space="0"/>
              <w:right w:val="single" w:color="auto" w:sz="8" w:space="0"/>
            </w:tcBorders>
            <w:vAlign w:val="bottom"/>
          </w:tcPr>
          <w:p>
            <w:pPr>
              <w:widowControl/>
              <w:jc w:val="center"/>
              <w:rPr>
                <w:rFonts w:ascii="华文细黑" w:hAnsi="华文细黑" w:eastAsia="华文细黑" w:cs="宋体"/>
                <w:kern w:val="0"/>
                <w:szCs w:val="21"/>
              </w:rPr>
            </w:pPr>
            <w:r>
              <w:rPr>
                <w:rFonts w:hint="eastAsia" w:ascii="华文细黑" w:hAnsi="华文细黑" w:eastAsia="华文细黑" w:cs="宋体"/>
                <w:kern w:val="0"/>
                <w:szCs w:val="21"/>
              </w:rPr>
              <w:t>厂家免费提供的其他服务</w:t>
            </w:r>
          </w:p>
        </w:tc>
        <w:tc>
          <w:tcPr>
            <w:tcW w:w="7044" w:type="dxa"/>
            <w:gridSpan w:val="5"/>
            <w:tcBorders>
              <w:top w:val="single" w:color="auto" w:sz="8" w:space="0"/>
              <w:left w:val="nil"/>
              <w:bottom w:val="single" w:color="auto" w:sz="8" w:space="0"/>
              <w:right w:val="single" w:color="000000" w:sz="8" w:space="0"/>
            </w:tcBorders>
            <w:vAlign w:val="bottom"/>
          </w:tcPr>
          <w:p>
            <w:pPr>
              <w:widowControl/>
              <w:rPr>
                <w:rFonts w:ascii="华文细黑" w:hAnsi="华文细黑" w:eastAsia="华文细黑" w:cs="宋体"/>
                <w:b/>
                <w:bCs/>
                <w:kern w:val="0"/>
                <w:szCs w:val="21"/>
              </w:rPr>
            </w:pPr>
            <w:r>
              <w:rPr>
                <w:rFonts w:hint="eastAsia" w:ascii="华文细黑" w:hAnsi="华文细黑" w:eastAsia="华文细黑" w:cs="宋体"/>
                <w:b/>
                <w:bCs/>
                <w:kern w:val="0"/>
                <w:szCs w:val="21"/>
              </w:rPr>
              <w:t>　</w:t>
            </w:r>
          </w:p>
        </w:tc>
      </w:tr>
      <w:tr>
        <w:tblPrEx>
          <w:tblLayout w:type="fixed"/>
          <w:tblCellMar>
            <w:top w:w="0" w:type="dxa"/>
            <w:left w:w="108" w:type="dxa"/>
            <w:bottom w:w="0" w:type="dxa"/>
            <w:right w:w="108" w:type="dxa"/>
          </w:tblCellMar>
        </w:tblPrEx>
        <w:trPr>
          <w:trHeight w:val="1473" w:hRule="atLeast"/>
        </w:trPr>
        <w:tc>
          <w:tcPr>
            <w:tcW w:w="1808" w:type="dxa"/>
            <w:tcBorders>
              <w:top w:val="nil"/>
              <w:left w:val="single" w:color="auto" w:sz="8" w:space="0"/>
              <w:bottom w:val="single" w:color="auto" w:sz="8" w:space="0"/>
              <w:right w:val="single" w:color="auto" w:sz="8" w:space="0"/>
            </w:tcBorders>
            <w:vAlign w:val="bottom"/>
          </w:tcPr>
          <w:p>
            <w:pPr>
              <w:widowControl/>
              <w:rPr>
                <w:rFonts w:ascii="华文细黑" w:hAnsi="华文细黑" w:eastAsia="华文细黑" w:cs="宋体"/>
                <w:b/>
                <w:bCs/>
                <w:kern w:val="0"/>
                <w:szCs w:val="21"/>
              </w:rPr>
            </w:pPr>
            <w:r>
              <w:rPr>
                <w:rFonts w:hint="eastAsia" w:ascii="华文细黑" w:hAnsi="华文细黑" w:eastAsia="华文细黑" w:cs="宋体"/>
                <w:b/>
                <w:bCs/>
                <w:kern w:val="0"/>
                <w:szCs w:val="21"/>
              </w:rPr>
              <w:t>项目总报价（</w:t>
            </w:r>
            <w:r>
              <w:rPr>
                <w:rFonts w:hint="eastAsia" w:ascii="华文细黑" w:hAnsi="华文细黑" w:eastAsia="华文细黑" w:cs="宋体"/>
                <w:kern w:val="0"/>
                <w:szCs w:val="21"/>
              </w:rPr>
              <w:t>含贵公司在</w:t>
            </w:r>
            <w:r>
              <w:rPr>
                <w:rFonts w:hint="eastAsia" w:ascii="华文细黑" w:hAnsi="华文细黑" w:eastAsia="华文细黑" w:cs="宋体"/>
                <w:kern w:val="0"/>
                <w:szCs w:val="21"/>
                <w:lang w:val="en-US" w:eastAsia="zh-CN"/>
              </w:rPr>
              <w:t>竞价公告</w:t>
            </w:r>
            <w:r>
              <w:rPr>
                <w:rFonts w:hint="eastAsia" w:ascii="华文细黑" w:hAnsi="华文细黑" w:eastAsia="华文细黑" w:cs="宋体"/>
                <w:kern w:val="0"/>
                <w:szCs w:val="21"/>
              </w:rPr>
              <w:t>项下的一切设备和服务的</w:t>
            </w:r>
            <w:r>
              <w:rPr>
                <w:rFonts w:hint="eastAsia" w:ascii="华文细黑" w:hAnsi="华文细黑" w:eastAsia="华文细黑" w:cs="宋体"/>
                <w:kern w:val="0"/>
                <w:szCs w:val="21"/>
                <w:lang w:val="en-US" w:eastAsia="zh-CN"/>
              </w:rPr>
              <w:t>含税</w:t>
            </w:r>
            <w:r>
              <w:rPr>
                <w:rFonts w:hint="eastAsia" w:ascii="华文细黑" w:hAnsi="华文细黑" w:eastAsia="华文细黑" w:cs="宋体"/>
                <w:kern w:val="0"/>
                <w:szCs w:val="21"/>
              </w:rPr>
              <w:t>价款）</w:t>
            </w:r>
          </w:p>
        </w:tc>
        <w:tc>
          <w:tcPr>
            <w:tcW w:w="7044" w:type="dxa"/>
            <w:gridSpan w:val="5"/>
            <w:tcBorders>
              <w:top w:val="single" w:color="auto" w:sz="8" w:space="0"/>
              <w:left w:val="nil"/>
              <w:bottom w:val="single" w:color="auto" w:sz="8" w:space="0"/>
              <w:right w:val="single" w:color="000000" w:sz="8" w:space="0"/>
            </w:tcBorders>
            <w:vAlign w:val="bottom"/>
          </w:tcPr>
          <w:p>
            <w:pPr>
              <w:widowControl/>
              <w:rPr>
                <w:rFonts w:ascii="华文细黑" w:hAnsi="华文细黑" w:eastAsia="华文细黑" w:cs="宋体"/>
                <w:b/>
                <w:bCs/>
                <w:kern w:val="0"/>
                <w:szCs w:val="21"/>
              </w:rPr>
            </w:pPr>
            <w:r>
              <w:rPr>
                <w:rFonts w:hint="eastAsia" w:ascii="华文细黑" w:hAnsi="华文细黑" w:eastAsia="华文细黑" w:cs="宋体"/>
                <w:b/>
                <w:bCs/>
                <w:kern w:val="0"/>
                <w:szCs w:val="21"/>
              </w:rPr>
              <w:t>大写：人民币</w:t>
            </w:r>
            <w:r>
              <w:rPr>
                <w:rFonts w:hint="eastAsia" w:ascii="华文细黑" w:hAnsi="华文细黑" w:eastAsia="华文细黑" w:cs="宋体"/>
                <w:b/>
                <w:bCs/>
                <w:kern w:val="0"/>
                <w:szCs w:val="21"/>
                <w:u w:val="single"/>
              </w:rPr>
              <w:t xml:space="preserve">                      </w:t>
            </w:r>
            <w:r>
              <w:rPr>
                <w:rFonts w:hint="eastAsia" w:ascii="华文细黑" w:hAnsi="华文细黑" w:eastAsia="华文细黑" w:cs="宋体"/>
                <w:b/>
                <w:bCs/>
                <w:kern w:val="0"/>
                <w:szCs w:val="21"/>
              </w:rPr>
              <w:t>（小写￥</w:t>
            </w:r>
            <w:r>
              <w:rPr>
                <w:rFonts w:hint="eastAsia" w:ascii="华文细黑" w:hAnsi="华文细黑" w:eastAsia="华文细黑" w:cs="宋体"/>
                <w:b/>
                <w:bCs/>
                <w:kern w:val="0"/>
                <w:szCs w:val="21"/>
                <w:u w:val="single"/>
              </w:rPr>
              <w:t xml:space="preserve">           </w:t>
            </w:r>
            <w:r>
              <w:rPr>
                <w:rFonts w:hint="eastAsia" w:ascii="华文细黑" w:hAnsi="华文细黑" w:eastAsia="华文细黑" w:cs="宋体"/>
                <w:b/>
                <w:bCs/>
                <w:kern w:val="0"/>
                <w:szCs w:val="21"/>
              </w:rPr>
              <w:t xml:space="preserve"> ）</w:t>
            </w:r>
          </w:p>
        </w:tc>
      </w:tr>
    </w:tbl>
    <w:p>
      <w:pPr>
        <w:pStyle w:val="10"/>
        <w:adjustRightInd w:val="0"/>
        <w:snapToGrid w:val="0"/>
        <w:spacing w:before="0" w:beforeAutospacing="0" w:after="0" w:afterAutospacing="0" w:line="0" w:lineRule="atLeast"/>
        <w:ind w:firstLine="420"/>
        <w:rPr>
          <w:rFonts w:ascii="华文细黑" w:hAnsi="华文细黑" w:eastAsia="华文细黑"/>
          <w:sz w:val="21"/>
          <w:szCs w:val="21"/>
        </w:rPr>
      </w:pPr>
    </w:p>
    <w:p>
      <w:pPr>
        <w:pStyle w:val="10"/>
        <w:adjustRightInd w:val="0"/>
        <w:snapToGrid w:val="0"/>
        <w:spacing w:before="0" w:beforeAutospacing="0" w:after="0" w:afterAutospacing="0" w:line="0" w:lineRule="atLeast"/>
        <w:ind w:firstLine="420"/>
        <w:rPr>
          <w:rFonts w:hint="eastAsia" w:ascii="华文细黑" w:hAnsi="华文细黑" w:eastAsia="华文细黑"/>
          <w:sz w:val="21"/>
          <w:szCs w:val="21"/>
        </w:rPr>
      </w:pPr>
      <w:r>
        <w:rPr>
          <w:rFonts w:hint="eastAsia" w:ascii="华文细黑" w:hAnsi="华文细黑" w:eastAsia="华文细黑"/>
          <w:sz w:val="21"/>
          <w:szCs w:val="21"/>
        </w:rPr>
        <w:t>本公司已阅读并完全理解贵公司</w:t>
      </w:r>
      <w:r>
        <w:rPr>
          <w:rFonts w:hint="eastAsia" w:ascii="华文细黑" w:hAnsi="华文细黑" w:eastAsia="华文细黑"/>
          <w:sz w:val="21"/>
          <w:szCs w:val="21"/>
          <w:lang w:val="en-US" w:eastAsia="zh-CN"/>
        </w:rPr>
        <w:t>竞价公告</w:t>
      </w:r>
      <w:r>
        <w:rPr>
          <w:rFonts w:hint="eastAsia" w:ascii="华文细黑" w:hAnsi="华文细黑" w:eastAsia="华文细黑"/>
          <w:sz w:val="21"/>
          <w:szCs w:val="21"/>
        </w:rPr>
        <w:t>的全部内容，本公司承诺对</w:t>
      </w:r>
      <w:r>
        <w:rPr>
          <w:rFonts w:hint="eastAsia" w:ascii="华文细黑" w:hAnsi="华文细黑" w:eastAsia="华文细黑"/>
          <w:sz w:val="21"/>
          <w:szCs w:val="21"/>
          <w:lang w:val="en-US" w:eastAsia="zh-CN"/>
        </w:rPr>
        <w:t>项目采购需求、服务要求、项目周期、资格要求</w:t>
      </w:r>
      <w:r>
        <w:rPr>
          <w:rFonts w:hint="eastAsia" w:ascii="华文细黑" w:hAnsi="华文细黑" w:eastAsia="华文细黑"/>
          <w:sz w:val="21"/>
          <w:szCs w:val="21"/>
        </w:rPr>
        <w:t>以及特别</w:t>
      </w:r>
      <w:r>
        <w:rPr>
          <w:rFonts w:hint="eastAsia" w:ascii="华文细黑" w:hAnsi="华文细黑" w:eastAsia="华文细黑"/>
          <w:sz w:val="21"/>
          <w:szCs w:val="21"/>
          <w:lang w:val="en-US" w:eastAsia="zh-CN"/>
        </w:rPr>
        <w:t>说明</w:t>
      </w:r>
      <w:r>
        <w:rPr>
          <w:rFonts w:hint="eastAsia" w:ascii="华文细黑" w:hAnsi="华文细黑" w:eastAsia="华文细黑"/>
          <w:sz w:val="21"/>
          <w:szCs w:val="21"/>
        </w:rPr>
        <w:t>中的所有要求均能满足。本公司确认以上内容情况属实。</w:t>
      </w:r>
    </w:p>
    <w:p>
      <w:pPr>
        <w:pStyle w:val="10"/>
        <w:adjustRightInd w:val="0"/>
        <w:snapToGrid w:val="0"/>
        <w:spacing w:before="0" w:beforeAutospacing="0" w:after="0" w:afterAutospacing="0" w:line="0" w:lineRule="atLeast"/>
        <w:ind w:firstLine="420"/>
        <w:rPr>
          <w:rFonts w:hint="eastAsia" w:ascii="华文细黑" w:hAnsi="华文细黑" w:eastAsia="华文细黑"/>
          <w:sz w:val="21"/>
          <w:szCs w:val="21"/>
        </w:rPr>
      </w:pPr>
    </w:p>
    <w:p>
      <w:pPr>
        <w:pStyle w:val="10"/>
        <w:adjustRightInd w:val="0"/>
        <w:snapToGrid w:val="0"/>
        <w:spacing w:before="0" w:beforeAutospacing="0" w:after="0" w:afterAutospacing="0" w:line="0" w:lineRule="atLeast"/>
        <w:ind w:firstLine="420"/>
        <w:rPr>
          <w:rFonts w:hint="eastAsia" w:ascii="华文细黑" w:hAnsi="华文细黑" w:eastAsia="华文细黑"/>
          <w:sz w:val="21"/>
          <w:szCs w:val="21"/>
        </w:rPr>
      </w:pPr>
    </w:p>
    <w:p>
      <w:pPr>
        <w:spacing w:line="0" w:lineRule="atLeast"/>
        <w:ind w:left="417"/>
        <w:rPr>
          <w:rFonts w:ascii="华文细黑" w:hAnsi="华文细黑" w:eastAsia="华文细黑"/>
          <w:b/>
          <w:bCs/>
          <w:szCs w:val="21"/>
        </w:rPr>
      </w:pPr>
      <w:r>
        <w:rPr>
          <w:rFonts w:hint="eastAsia" w:ascii="华文细黑" w:hAnsi="华文细黑" w:eastAsia="华文细黑"/>
          <w:b/>
          <w:szCs w:val="21"/>
        </w:rPr>
        <w:t>授权代表签字：</w:t>
      </w:r>
      <w:r>
        <w:rPr>
          <w:rFonts w:hint="eastAsia" w:ascii="华文细黑" w:hAnsi="华文细黑" w:eastAsia="华文细黑"/>
          <w:b/>
          <w:szCs w:val="21"/>
          <w:u w:val="single"/>
        </w:rPr>
        <w:t xml:space="preserve">               </w:t>
      </w:r>
      <w:r>
        <w:rPr>
          <w:rFonts w:hint="eastAsia" w:ascii="华文细黑" w:hAnsi="华文细黑" w:eastAsia="华文细黑"/>
          <w:b/>
          <w:szCs w:val="21"/>
        </w:rPr>
        <w:t xml:space="preserve">   单位（盖章）    年   月   日</w:t>
      </w:r>
    </w:p>
    <w:p>
      <w:pPr>
        <w:spacing w:line="0" w:lineRule="atLeast"/>
        <w:ind w:left="417"/>
        <w:rPr>
          <w:rFonts w:ascii="华文细黑" w:hAnsi="华文细黑" w:eastAsia="华文细黑"/>
          <w:b/>
          <w:bCs/>
          <w:szCs w:val="21"/>
        </w:rPr>
        <w:sectPr>
          <w:headerReference r:id="rId3" w:type="default"/>
          <w:footerReference r:id="rId4" w:type="default"/>
          <w:pgSz w:w="11906" w:h="16838"/>
          <w:pgMar w:top="1440" w:right="1797" w:bottom="1440" w:left="1797" w:header="851" w:footer="992" w:gutter="0"/>
          <w:cols w:space="720" w:num="1"/>
          <w:docGrid w:type="lines" w:linePitch="312" w:charSpace="0"/>
        </w:sectPr>
      </w:pPr>
    </w:p>
    <w:p>
      <w:pPr>
        <w:widowControl/>
        <w:spacing w:line="540" w:lineRule="exact"/>
        <w:jc w:val="left"/>
        <w:rPr>
          <w:rFonts w:hint="eastAsia" w:ascii="仿宋" w:hAnsi="仿宋" w:eastAsia="仿宋"/>
          <w:b/>
          <w:spacing w:val="-6"/>
          <w:sz w:val="30"/>
          <w:szCs w:val="30"/>
          <w:lang w:eastAsia="zh-CN"/>
        </w:rPr>
      </w:pPr>
      <w:r>
        <w:rPr>
          <w:rFonts w:hint="eastAsia" w:ascii="仿宋" w:hAnsi="仿宋" w:eastAsia="仿宋"/>
          <w:b/>
          <w:spacing w:val="-6"/>
          <w:sz w:val="30"/>
          <w:szCs w:val="30"/>
        </w:rPr>
        <w:t>附件</w:t>
      </w:r>
      <w:r>
        <w:rPr>
          <w:rFonts w:hint="eastAsia" w:ascii="仿宋" w:hAnsi="仿宋" w:eastAsia="仿宋"/>
          <w:b/>
          <w:spacing w:val="-6"/>
          <w:sz w:val="30"/>
          <w:szCs w:val="30"/>
          <w:lang w:val="en-US" w:eastAsia="zh-CN"/>
        </w:rPr>
        <w:t>2</w:t>
      </w:r>
    </w:p>
    <w:p>
      <w:pPr>
        <w:widowControl/>
        <w:spacing w:line="540" w:lineRule="exact"/>
        <w:jc w:val="center"/>
        <w:rPr>
          <w:rFonts w:ascii="仿宋" w:hAnsi="仿宋" w:eastAsia="仿宋" w:cs="宋体"/>
          <w:spacing w:val="-6"/>
          <w:sz w:val="30"/>
          <w:szCs w:val="30"/>
        </w:rPr>
      </w:pPr>
      <w:r>
        <w:rPr>
          <w:rFonts w:hint="eastAsia" w:ascii="仿宋" w:hAnsi="仿宋" w:eastAsia="仿宋" w:cs="宋体"/>
          <w:b/>
          <w:spacing w:val="-6"/>
          <w:sz w:val="30"/>
          <w:szCs w:val="30"/>
        </w:rPr>
        <w:t>供应商声明</w:t>
      </w:r>
    </w:p>
    <w:p>
      <w:pPr>
        <w:pStyle w:val="20"/>
        <w:widowControl/>
        <w:numPr>
          <w:ilvl w:val="0"/>
          <w:numId w:val="5"/>
        </w:numPr>
        <w:spacing w:line="540" w:lineRule="exact"/>
        <w:ind w:firstLine="549" w:firstLineChars="0"/>
        <w:jc w:val="left"/>
        <w:rPr>
          <w:rFonts w:ascii="仿宋" w:hAnsi="仿宋" w:eastAsia="仿宋" w:cs="FZFSJW--GB1-0"/>
          <w:color w:val="000000" w:themeColor="text1"/>
          <w:spacing w:val="-6"/>
          <w:sz w:val="30"/>
          <w:szCs w:val="30"/>
          <w14:textFill>
            <w14:solidFill>
              <w14:schemeClr w14:val="tx1"/>
            </w14:solidFill>
          </w14:textFill>
        </w:rPr>
      </w:pPr>
      <w:r>
        <w:rPr>
          <w:rFonts w:hint="eastAsia" w:ascii="仿宋" w:hAnsi="仿宋" w:eastAsia="仿宋"/>
          <w:color w:val="000000" w:themeColor="text1"/>
          <w:spacing w:val="-6"/>
          <w:sz w:val="30"/>
          <w:szCs w:val="30"/>
          <w14:textFill>
            <w14:solidFill>
              <w14:schemeClr w14:val="tx1"/>
            </w14:solidFill>
          </w14:textFill>
        </w:rPr>
        <w:t>本公司承诺遵守太平洋安信农业保险股份有限公司采购纪律和相关工作流程，确保</w:t>
      </w:r>
      <w:r>
        <w:rPr>
          <w:rFonts w:hint="eastAsia" w:ascii="仿宋" w:hAnsi="仿宋" w:eastAsia="仿宋" w:cs="Arial"/>
          <w:color w:val="000000" w:themeColor="text1"/>
          <w:spacing w:val="-6"/>
          <w:sz w:val="30"/>
          <w:szCs w:val="30"/>
          <w14:textFill>
            <w14:solidFill>
              <w14:schemeClr w14:val="tx1"/>
            </w14:solidFill>
          </w14:textFill>
        </w:rPr>
        <w:t>采购活动规范与廉洁</w:t>
      </w:r>
      <w:r>
        <w:rPr>
          <w:rFonts w:hint="eastAsia" w:ascii="仿宋" w:hAnsi="仿宋" w:eastAsia="仿宋"/>
          <w:color w:val="000000" w:themeColor="text1"/>
          <w:spacing w:val="-6"/>
          <w:sz w:val="30"/>
          <w:szCs w:val="30"/>
          <w14:textFill>
            <w14:solidFill>
              <w14:schemeClr w14:val="tx1"/>
            </w14:solidFill>
          </w14:textFill>
        </w:rPr>
        <w:t>。</w:t>
      </w:r>
    </w:p>
    <w:p>
      <w:pPr>
        <w:pStyle w:val="20"/>
        <w:widowControl/>
        <w:numPr>
          <w:ilvl w:val="0"/>
          <w:numId w:val="5"/>
        </w:numPr>
        <w:spacing w:line="540" w:lineRule="exact"/>
        <w:ind w:firstLine="549" w:firstLineChars="0"/>
        <w:jc w:val="left"/>
        <w:rPr>
          <w:rFonts w:ascii="仿宋" w:hAnsi="仿宋" w:eastAsia="仿宋" w:cs="FZFSJW--GB1-0"/>
          <w:b/>
          <w:color w:val="000000" w:themeColor="text1"/>
          <w:spacing w:val="-6"/>
          <w:sz w:val="30"/>
          <w:szCs w:val="30"/>
          <w14:textFill>
            <w14:solidFill>
              <w14:schemeClr w14:val="tx1"/>
            </w14:solidFill>
          </w14:textFill>
        </w:rPr>
      </w:pPr>
      <w:r>
        <w:rPr>
          <w:rFonts w:hint="eastAsia" w:ascii="仿宋" w:hAnsi="仿宋" w:eastAsia="仿宋" w:cs="FZFSJW--GB1-0"/>
          <w:color w:val="000000" w:themeColor="text1"/>
          <w:spacing w:val="-6"/>
          <w:sz w:val="30"/>
          <w:szCs w:val="30"/>
          <w14:textFill>
            <w14:solidFill>
              <w14:schemeClr w14:val="tx1"/>
            </w14:solidFill>
          </w14:textFill>
        </w:rPr>
        <w:t>本公司承诺</w:t>
      </w:r>
      <w:r>
        <w:rPr>
          <w:rFonts w:hint="eastAsia" w:ascii="仿宋" w:hAnsi="仿宋" w:eastAsia="仿宋"/>
          <w:color w:val="000000" w:themeColor="text1"/>
          <w:spacing w:val="-6"/>
          <w:sz w:val="30"/>
          <w:szCs w:val="30"/>
          <w14:textFill>
            <w14:solidFill>
              <w14:schemeClr w14:val="tx1"/>
            </w14:solidFill>
          </w14:textFill>
        </w:rPr>
        <w:t>依法成立，具有法人资格或具备独立承担民事责任的能力及有履行合同所必需的设备和专业技术能力</w:t>
      </w:r>
      <w:r>
        <w:rPr>
          <w:rFonts w:hint="eastAsia" w:ascii="仿宋" w:hAnsi="仿宋" w:eastAsia="仿宋" w:cs="FZFSJW--GB1-0"/>
          <w:color w:val="000000" w:themeColor="text1"/>
          <w:spacing w:val="-6"/>
          <w:sz w:val="30"/>
          <w:szCs w:val="30"/>
          <w14:textFill>
            <w14:solidFill>
              <w14:schemeClr w14:val="tx1"/>
            </w14:solidFill>
          </w14:textFill>
        </w:rPr>
        <w:t>。</w:t>
      </w:r>
    </w:p>
    <w:p>
      <w:pPr>
        <w:pStyle w:val="20"/>
        <w:widowControl/>
        <w:numPr>
          <w:ilvl w:val="0"/>
          <w:numId w:val="5"/>
        </w:numPr>
        <w:spacing w:line="540" w:lineRule="exact"/>
        <w:ind w:firstLine="549" w:firstLineChars="0"/>
        <w:jc w:val="left"/>
        <w:rPr>
          <w:rFonts w:ascii="仿宋" w:hAnsi="仿宋" w:eastAsia="仿宋" w:cs="FZFSJW--GB1-0"/>
          <w:spacing w:val="-6"/>
          <w:sz w:val="30"/>
          <w:szCs w:val="30"/>
        </w:rPr>
      </w:pPr>
      <w:r>
        <w:rPr>
          <w:rFonts w:hint="eastAsia" w:ascii="仿宋" w:hAnsi="仿宋" w:eastAsia="仿宋" w:cs="FZFSJW--GB1-0"/>
          <w:spacing w:val="-6"/>
          <w:sz w:val="30"/>
          <w:szCs w:val="30"/>
        </w:rPr>
        <w:t>本公司承诺商业信誉及经营状况良好，且近三年内无不良经营记录、无违规违法记录。</w:t>
      </w:r>
    </w:p>
    <w:p>
      <w:pPr>
        <w:pStyle w:val="20"/>
        <w:widowControl/>
        <w:numPr>
          <w:ilvl w:val="0"/>
          <w:numId w:val="5"/>
        </w:numPr>
        <w:spacing w:line="540" w:lineRule="exact"/>
        <w:ind w:firstLine="549" w:firstLineChars="0"/>
        <w:jc w:val="left"/>
        <w:rPr>
          <w:rFonts w:ascii="仿宋" w:hAnsi="仿宋" w:eastAsia="仿宋" w:cs="FZFSJW--GB1-0"/>
          <w:color w:val="000000" w:themeColor="text1"/>
          <w:spacing w:val="-6"/>
          <w:sz w:val="30"/>
          <w:szCs w:val="30"/>
          <w14:textFill>
            <w14:solidFill>
              <w14:schemeClr w14:val="tx1"/>
            </w14:solidFill>
          </w14:textFill>
        </w:rPr>
      </w:pPr>
      <w:r>
        <w:rPr>
          <w:rFonts w:hint="eastAsia" w:ascii="仿宋" w:hAnsi="仿宋" w:eastAsia="仿宋" w:cs="FZFSJW--GB1-0"/>
          <w:color w:val="000000" w:themeColor="text1"/>
          <w:spacing w:val="-6"/>
          <w:sz w:val="30"/>
          <w:szCs w:val="30"/>
          <w14:textFill>
            <w14:solidFill>
              <w14:schemeClr w14:val="tx1"/>
            </w14:solidFill>
          </w14:textFill>
        </w:rPr>
        <w:t>本公司保证向太平洋安信农业保险股份有限公司提交的资料、数据（包括但不限于谈判响应文件、采购系统提交的数据及其它太平洋安信农业保险股份有限公司要求提供的资料等）具有其合法性和有效性。本公司所有提交的资料均视为本公司真实意思表达，对本公司具有法律拘束力。</w:t>
      </w:r>
    </w:p>
    <w:p>
      <w:pPr>
        <w:pStyle w:val="20"/>
        <w:widowControl/>
        <w:numPr>
          <w:ilvl w:val="0"/>
          <w:numId w:val="5"/>
        </w:numPr>
        <w:spacing w:line="540" w:lineRule="exact"/>
        <w:ind w:firstLine="549" w:firstLineChars="0"/>
        <w:jc w:val="left"/>
        <w:rPr>
          <w:rFonts w:ascii="仿宋" w:hAnsi="仿宋" w:eastAsia="仿宋" w:cs="FZFSJW--GB1-0"/>
          <w:color w:val="000000" w:themeColor="text1"/>
          <w:spacing w:val="-6"/>
          <w:sz w:val="30"/>
          <w:szCs w:val="30"/>
          <w14:textFill>
            <w14:solidFill>
              <w14:schemeClr w14:val="tx1"/>
            </w14:solidFill>
          </w14:textFill>
        </w:rPr>
      </w:pPr>
      <w:r>
        <w:rPr>
          <w:rFonts w:hint="eastAsia" w:ascii="仿宋" w:hAnsi="仿宋" w:eastAsia="仿宋" w:cs="FZFSJW--GB1-0"/>
          <w:color w:val="000000" w:themeColor="text1"/>
          <w:spacing w:val="-6"/>
          <w:sz w:val="30"/>
          <w:szCs w:val="30"/>
          <w14:textFill>
            <w14:solidFill>
              <w14:schemeClr w14:val="tx1"/>
            </w14:solidFill>
          </w14:textFill>
        </w:rPr>
        <w:t>本公司严守采购活动中涉及的保密信息，未经法律法规及相关有权机关要求或未经太平洋安信农业保险股份有限公司事先书面同意，绝不将信息泄露给其他第三方。</w:t>
      </w:r>
    </w:p>
    <w:p>
      <w:pPr>
        <w:pStyle w:val="20"/>
        <w:widowControl/>
        <w:numPr>
          <w:ilvl w:val="0"/>
          <w:numId w:val="5"/>
        </w:numPr>
        <w:spacing w:line="540" w:lineRule="exact"/>
        <w:ind w:firstLine="560" w:firstLineChars="0"/>
        <w:jc w:val="left"/>
        <w:rPr>
          <w:rFonts w:ascii="仿宋" w:hAnsi="仿宋" w:eastAsia="仿宋" w:cs="FZFSJW--GB1-0"/>
          <w:b/>
          <w:color w:val="000000" w:themeColor="text1"/>
          <w:spacing w:val="-6"/>
          <w:sz w:val="30"/>
          <w:szCs w:val="30"/>
          <w14:textFill>
            <w14:solidFill>
              <w14:schemeClr w14:val="tx1"/>
            </w14:solidFill>
          </w14:textFill>
        </w:rPr>
      </w:pPr>
      <w:r>
        <w:rPr>
          <w:rFonts w:hint="eastAsia" w:ascii="仿宋" w:hAnsi="仿宋" w:eastAsia="仿宋" w:cs="FZFSJW--GB1-0"/>
          <w:color w:val="000000" w:themeColor="text1"/>
          <w:spacing w:val="-6"/>
          <w:sz w:val="30"/>
          <w:szCs w:val="30"/>
          <w14:textFill>
            <w14:solidFill>
              <w14:schemeClr w14:val="tx1"/>
            </w14:solidFill>
          </w14:textFill>
        </w:rPr>
        <w:t>本公司参与采购活动的义务包括：</w:t>
      </w:r>
    </w:p>
    <w:p>
      <w:pPr>
        <w:widowControl/>
        <w:numPr>
          <w:ilvl w:val="0"/>
          <w:numId w:val="6"/>
        </w:numPr>
        <w:spacing w:line="540" w:lineRule="exact"/>
        <w:ind w:firstLine="549"/>
        <w:jc w:val="left"/>
        <w:rPr>
          <w:rFonts w:ascii="仿宋" w:hAnsi="仿宋" w:eastAsia="仿宋" w:cs="FZFSJW--GB1-0"/>
          <w:color w:val="000000" w:themeColor="text1"/>
          <w:spacing w:val="-6"/>
          <w:sz w:val="30"/>
          <w:szCs w:val="30"/>
          <w14:textFill>
            <w14:solidFill>
              <w14:schemeClr w14:val="tx1"/>
            </w14:solidFill>
          </w14:textFill>
        </w:rPr>
      </w:pPr>
      <w:r>
        <w:rPr>
          <w:rFonts w:hint="eastAsia" w:ascii="仿宋" w:hAnsi="仿宋" w:eastAsia="仿宋" w:cs="FZFSJW--GB1-0"/>
          <w:color w:val="000000" w:themeColor="text1"/>
          <w:spacing w:val="-6"/>
          <w:sz w:val="30"/>
          <w:szCs w:val="30"/>
          <w14:textFill>
            <w14:solidFill>
              <w14:schemeClr w14:val="tx1"/>
            </w14:solidFill>
          </w14:textFill>
        </w:rPr>
        <w:t>自觉遵守太平洋安信农业保险股份有限公司关于供应商管理的相关制度规定，保证在采购活动中无任何违法、违规、违纪行为。</w:t>
      </w:r>
    </w:p>
    <w:p>
      <w:pPr>
        <w:widowControl/>
        <w:numPr>
          <w:ilvl w:val="0"/>
          <w:numId w:val="6"/>
        </w:numPr>
        <w:spacing w:line="540" w:lineRule="exact"/>
        <w:ind w:firstLine="549"/>
        <w:jc w:val="left"/>
        <w:rPr>
          <w:rFonts w:ascii="仿宋" w:hAnsi="仿宋" w:eastAsia="仿宋" w:cs="FZFSJW--GB1-0"/>
          <w:color w:val="000000" w:themeColor="text1"/>
          <w:spacing w:val="-6"/>
          <w:sz w:val="30"/>
          <w:szCs w:val="30"/>
          <w14:textFill>
            <w14:solidFill>
              <w14:schemeClr w14:val="tx1"/>
            </w14:solidFill>
          </w14:textFill>
        </w:rPr>
      </w:pPr>
      <w:r>
        <w:rPr>
          <w:rFonts w:hint="eastAsia" w:ascii="仿宋" w:hAnsi="仿宋" w:eastAsia="仿宋" w:cs="FZFSJW--GB1-0"/>
          <w:color w:val="000000" w:themeColor="text1"/>
          <w:spacing w:val="-6"/>
          <w:sz w:val="30"/>
          <w:szCs w:val="30"/>
          <w14:textFill>
            <w14:solidFill>
              <w14:schemeClr w14:val="tx1"/>
            </w14:solidFill>
          </w14:textFill>
        </w:rPr>
        <w:t>为太平洋安信农业保险股份有限公司提供符合规定质量标准的货物、工程和服务, 不擅自将中标（选）项目分包或转包。</w:t>
      </w:r>
    </w:p>
    <w:p>
      <w:pPr>
        <w:widowControl/>
        <w:numPr>
          <w:ilvl w:val="0"/>
          <w:numId w:val="6"/>
        </w:numPr>
        <w:spacing w:line="540" w:lineRule="exact"/>
        <w:ind w:firstLine="549"/>
        <w:jc w:val="left"/>
        <w:rPr>
          <w:rFonts w:ascii="仿宋" w:hAnsi="仿宋" w:eastAsia="仿宋" w:cs="FZFSJW--GB1-0"/>
          <w:color w:val="000000" w:themeColor="text1"/>
          <w:spacing w:val="-6"/>
          <w:sz w:val="30"/>
          <w:szCs w:val="30"/>
          <w14:textFill>
            <w14:solidFill>
              <w14:schemeClr w14:val="tx1"/>
            </w14:solidFill>
          </w14:textFill>
        </w:rPr>
      </w:pPr>
      <w:r>
        <w:rPr>
          <w:rFonts w:hint="eastAsia" w:ascii="仿宋" w:hAnsi="仿宋" w:eastAsia="仿宋"/>
          <w:color w:val="000000" w:themeColor="text1"/>
          <w:spacing w:val="-6"/>
          <w:sz w:val="30"/>
          <w:szCs w:val="30"/>
          <w14:textFill>
            <w14:solidFill>
              <w14:schemeClr w14:val="tx1"/>
            </w14:solidFill>
          </w14:textFill>
        </w:rPr>
        <w:t>在参与采购项目过程中，不串通其他供应商哄抬标价，扰乱采购秩序，谋取非法权益，</w:t>
      </w:r>
      <w:r>
        <w:rPr>
          <w:rFonts w:hint="eastAsia" w:ascii="仿宋" w:hAnsi="仿宋" w:eastAsia="仿宋" w:cs="Arial"/>
          <w:color w:val="000000" w:themeColor="text1"/>
          <w:spacing w:val="-6"/>
          <w:sz w:val="30"/>
          <w:szCs w:val="30"/>
          <w14:textFill>
            <w14:solidFill>
              <w14:schemeClr w14:val="tx1"/>
            </w14:solidFill>
          </w14:textFill>
        </w:rPr>
        <w:t>不提供虚假材料谋取中标（选）。</w:t>
      </w:r>
    </w:p>
    <w:p>
      <w:pPr>
        <w:widowControl/>
        <w:numPr>
          <w:ilvl w:val="0"/>
          <w:numId w:val="6"/>
        </w:numPr>
        <w:spacing w:line="540" w:lineRule="exact"/>
        <w:ind w:firstLine="549"/>
        <w:jc w:val="left"/>
        <w:rPr>
          <w:rFonts w:ascii="仿宋" w:hAnsi="仿宋" w:eastAsia="仿宋" w:cs="FZFSJW--GB1-0"/>
          <w:color w:val="000000" w:themeColor="text1"/>
          <w:spacing w:val="-6"/>
          <w:sz w:val="30"/>
          <w:szCs w:val="30"/>
          <w14:textFill>
            <w14:solidFill>
              <w14:schemeClr w14:val="tx1"/>
            </w14:solidFill>
          </w14:textFill>
        </w:rPr>
      </w:pPr>
      <w:r>
        <w:rPr>
          <w:rFonts w:hint="eastAsia" w:ascii="仿宋" w:hAnsi="仿宋" w:eastAsia="仿宋" w:cs="FZFSJW--GB1-0"/>
          <w:color w:val="000000" w:themeColor="text1"/>
          <w:spacing w:val="-6"/>
          <w:sz w:val="30"/>
          <w:szCs w:val="30"/>
          <w14:textFill>
            <w14:solidFill>
              <w14:schemeClr w14:val="tx1"/>
            </w14:solidFill>
          </w14:textFill>
        </w:rPr>
        <w:t>中标（选）后，</w:t>
      </w:r>
      <w:r>
        <w:rPr>
          <w:rFonts w:hint="eastAsia" w:ascii="仿宋" w:hAnsi="仿宋" w:eastAsia="仿宋"/>
          <w:color w:val="000000" w:themeColor="text1"/>
          <w:spacing w:val="-6"/>
          <w:sz w:val="30"/>
          <w:szCs w:val="30"/>
          <w14:textFill>
            <w14:solidFill>
              <w14:schemeClr w14:val="tx1"/>
            </w14:solidFill>
          </w14:textFill>
        </w:rPr>
        <w:t>按规定的时间与太平洋安信农业保险股份有限公司签订采购合同，并按合同严格履约；</w:t>
      </w:r>
      <w:r>
        <w:rPr>
          <w:rFonts w:hint="eastAsia" w:ascii="仿宋" w:hAnsi="仿宋" w:eastAsia="仿宋" w:cs="FZFSJW--GB1-0"/>
          <w:color w:val="000000" w:themeColor="text1"/>
          <w:spacing w:val="-6"/>
          <w:sz w:val="30"/>
          <w:szCs w:val="30"/>
          <w14:textFill>
            <w14:solidFill>
              <w14:schemeClr w14:val="tx1"/>
            </w14:solidFill>
          </w14:textFill>
        </w:rPr>
        <w:t>不擅自变更或者终止采购合同；内容包括且不限于中标（选）货物、设备、材料、服务、采购文件、招标文件及采购合同约定等的相关事宜。</w:t>
      </w:r>
    </w:p>
    <w:p>
      <w:pPr>
        <w:widowControl/>
        <w:numPr>
          <w:ilvl w:val="0"/>
          <w:numId w:val="6"/>
        </w:numPr>
        <w:spacing w:line="540" w:lineRule="exact"/>
        <w:ind w:left="0" w:firstLine="576" w:firstLineChars="200"/>
        <w:jc w:val="left"/>
        <w:rPr>
          <w:rFonts w:ascii="仿宋" w:hAnsi="仿宋" w:eastAsia="仿宋" w:cs="FZFSJW--GB1-0"/>
          <w:color w:val="000000" w:themeColor="text1"/>
          <w:spacing w:val="-6"/>
          <w:sz w:val="30"/>
          <w:szCs w:val="30"/>
          <w14:textFill>
            <w14:solidFill>
              <w14:schemeClr w14:val="tx1"/>
            </w14:solidFill>
          </w14:textFill>
        </w:rPr>
      </w:pPr>
      <w:r>
        <w:rPr>
          <w:rFonts w:hint="eastAsia" w:ascii="仿宋" w:hAnsi="仿宋" w:eastAsia="仿宋"/>
          <w:color w:val="000000" w:themeColor="text1"/>
          <w:spacing w:val="-6"/>
          <w:sz w:val="30"/>
          <w:szCs w:val="30"/>
          <w:lang w:val="en-US" w:eastAsia="zh-CN"/>
          <w14:textFill>
            <w14:solidFill>
              <w14:schemeClr w14:val="tx1"/>
            </w14:solidFill>
          </w14:textFill>
        </w:rPr>
        <w:t>在与太平洋安信农业保险股份有限公司签署正式合同之前已接受本公司提供的货物、工程或服务，太平洋安信农业保险股份有限公司有权不承担由此产生的一切经济责任与法律责任。本公司同时将积极配合太平洋安信农业保险股份有限公司相关部门的调查工作。</w:t>
      </w:r>
    </w:p>
    <w:p>
      <w:pPr>
        <w:widowControl/>
        <w:numPr>
          <w:ilvl w:val="0"/>
          <w:numId w:val="6"/>
        </w:numPr>
        <w:spacing w:line="540" w:lineRule="exact"/>
        <w:ind w:firstLine="549"/>
        <w:jc w:val="left"/>
        <w:rPr>
          <w:rFonts w:ascii="仿宋" w:hAnsi="仿宋" w:eastAsia="仿宋" w:cs="FZFSJW--GB1-0"/>
          <w:color w:val="000000" w:themeColor="text1"/>
          <w:spacing w:val="-6"/>
          <w:sz w:val="30"/>
          <w:szCs w:val="30"/>
          <w14:textFill>
            <w14:solidFill>
              <w14:schemeClr w14:val="tx1"/>
            </w14:solidFill>
          </w14:textFill>
        </w:rPr>
      </w:pPr>
      <w:r>
        <w:rPr>
          <w:rFonts w:hint="eastAsia" w:ascii="仿宋" w:hAnsi="仿宋" w:eastAsia="仿宋" w:cs="FZFSJW--GB1-0"/>
          <w:color w:val="000000" w:themeColor="text1"/>
          <w:spacing w:val="-6"/>
          <w:sz w:val="30"/>
          <w:szCs w:val="30"/>
          <w14:textFill>
            <w14:solidFill>
              <w14:schemeClr w14:val="tx1"/>
            </w14:solidFill>
          </w14:textFill>
        </w:rPr>
        <w:t>主动接受太平洋安信农业保险股份有限公司采购部门及监察部门的监督、管理，不进行包括给回扣、介绍费在内的一切违纪违法行为。</w:t>
      </w:r>
    </w:p>
    <w:p>
      <w:pPr>
        <w:widowControl/>
        <w:numPr>
          <w:ilvl w:val="0"/>
          <w:numId w:val="6"/>
        </w:numPr>
        <w:spacing w:line="540" w:lineRule="exact"/>
        <w:ind w:firstLine="549"/>
        <w:jc w:val="left"/>
        <w:rPr>
          <w:rFonts w:ascii="仿宋" w:hAnsi="仿宋" w:eastAsia="仿宋" w:cs="FZFSJW--GB1-0"/>
          <w:color w:val="000000" w:themeColor="text1"/>
          <w:spacing w:val="-6"/>
          <w:sz w:val="30"/>
          <w:szCs w:val="30"/>
          <w14:textFill>
            <w14:solidFill>
              <w14:schemeClr w14:val="tx1"/>
            </w14:solidFill>
          </w14:textFill>
        </w:rPr>
      </w:pPr>
      <w:r>
        <w:rPr>
          <w:rFonts w:hint="eastAsia" w:ascii="仿宋" w:hAnsi="仿宋" w:eastAsia="仿宋" w:cs="FZFSJW--GB1-0"/>
          <w:color w:val="000000" w:themeColor="text1"/>
          <w:spacing w:val="-6"/>
          <w:sz w:val="30"/>
          <w:szCs w:val="30"/>
          <w14:textFill>
            <w14:solidFill>
              <w14:schemeClr w14:val="tx1"/>
            </w14:solidFill>
          </w14:textFill>
        </w:rPr>
        <w:t>发生工商变更、注销，应书面（或通过邮件）报告太平洋安信农业保险股份有限公司采购部门，并办理相应的公司资格变更或注销手续。</w:t>
      </w:r>
    </w:p>
    <w:p>
      <w:pPr>
        <w:widowControl/>
        <w:numPr>
          <w:ilvl w:val="0"/>
          <w:numId w:val="6"/>
        </w:numPr>
        <w:spacing w:line="540" w:lineRule="exact"/>
        <w:ind w:firstLine="549"/>
        <w:jc w:val="left"/>
        <w:rPr>
          <w:rFonts w:ascii="仿宋" w:hAnsi="仿宋" w:eastAsia="仿宋"/>
          <w:color w:val="000000" w:themeColor="text1"/>
          <w:spacing w:val="-6"/>
          <w:sz w:val="30"/>
          <w:szCs w:val="30"/>
          <w14:textFill>
            <w14:solidFill>
              <w14:schemeClr w14:val="tx1"/>
            </w14:solidFill>
          </w14:textFill>
        </w:rPr>
      </w:pPr>
      <w:r>
        <w:rPr>
          <w:rFonts w:hint="eastAsia" w:ascii="仿宋" w:hAnsi="仿宋" w:eastAsia="仿宋"/>
          <w:color w:val="000000" w:themeColor="text1"/>
          <w:spacing w:val="-6"/>
          <w:sz w:val="30"/>
          <w:szCs w:val="30"/>
          <w14:textFill>
            <w14:solidFill>
              <w14:schemeClr w14:val="tx1"/>
            </w14:solidFill>
          </w14:textFill>
        </w:rPr>
        <w:t>相关法律、法规、办法和规章规定中的其他义务。</w:t>
      </w:r>
    </w:p>
    <w:p>
      <w:pPr>
        <w:widowControl/>
        <w:numPr>
          <w:ilvl w:val="0"/>
          <w:numId w:val="6"/>
        </w:numPr>
        <w:spacing w:line="540" w:lineRule="exact"/>
        <w:ind w:firstLine="549"/>
        <w:jc w:val="left"/>
        <w:rPr>
          <w:rFonts w:ascii="仿宋" w:hAnsi="仿宋" w:eastAsia="仿宋" w:cs="FZFSJW--GB1-0"/>
          <w:color w:val="000000" w:themeColor="text1"/>
          <w:spacing w:val="-6"/>
          <w:sz w:val="30"/>
          <w:szCs w:val="30"/>
          <w14:textFill>
            <w14:solidFill>
              <w14:schemeClr w14:val="tx1"/>
            </w14:solidFill>
          </w14:textFill>
        </w:rPr>
      </w:pPr>
      <w:r>
        <w:rPr>
          <w:rFonts w:hint="eastAsia" w:ascii="仿宋" w:hAnsi="仿宋" w:eastAsia="仿宋" w:cs="FZFSJW--GB1-0"/>
          <w:color w:val="000000" w:themeColor="text1"/>
          <w:spacing w:val="-6"/>
          <w:sz w:val="30"/>
          <w:szCs w:val="30"/>
          <w14:textFill>
            <w14:solidFill>
              <w14:schemeClr w14:val="tx1"/>
            </w14:solidFill>
          </w14:textFill>
        </w:rPr>
        <w:t>未经太平洋安信农业保险股份有限公司事先书面同意，本公司不得转让此声明条款的义务。在遵守前述规定的情况下，此声明条款对双方的继承人和许可的受让人有约束力。</w:t>
      </w:r>
    </w:p>
    <w:p>
      <w:pPr>
        <w:pStyle w:val="20"/>
        <w:widowControl/>
        <w:numPr>
          <w:ilvl w:val="0"/>
          <w:numId w:val="5"/>
        </w:numPr>
        <w:spacing w:line="540" w:lineRule="exact"/>
        <w:ind w:firstLine="549" w:firstLineChars="0"/>
        <w:jc w:val="left"/>
        <w:rPr>
          <w:rFonts w:ascii="仿宋" w:hAnsi="仿宋" w:eastAsia="仿宋" w:cs="FZFSJW--GB1-0"/>
          <w:color w:val="000000" w:themeColor="text1"/>
          <w:spacing w:val="-6"/>
          <w:sz w:val="30"/>
          <w:szCs w:val="30"/>
          <w14:textFill>
            <w14:solidFill>
              <w14:schemeClr w14:val="tx1"/>
            </w14:solidFill>
          </w14:textFill>
        </w:rPr>
      </w:pPr>
      <w:r>
        <w:rPr>
          <w:rFonts w:hint="eastAsia" w:ascii="仿宋" w:hAnsi="仿宋" w:eastAsia="仿宋" w:cs="FZFSJW--GB1-0"/>
          <w:color w:val="000000" w:themeColor="text1"/>
          <w:spacing w:val="-6"/>
          <w:sz w:val="30"/>
          <w:szCs w:val="30"/>
          <w:lang w:val="en-US" w:eastAsia="zh-CN"/>
          <w14:textFill>
            <w14:solidFill>
              <w14:schemeClr w14:val="tx1"/>
            </w14:solidFill>
          </w14:textFill>
        </w:rPr>
        <w:t>本公司严格遵守所在地区、国家法律法规，且依循太平洋安信农业保险股份有限公司ＥＳＧ管理相关要求提供优良的产品及服务。</w:t>
      </w:r>
    </w:p>
    <w:p>
      <w:pPr>
        <w:pStyle w:val="20"/>
        <w:widowControl/>
        <w:numPr>
          <w:ilvl w:val="0"/>
          <w:numId w:val="7"/>
        </w:numPr>
        <w:spacing w:line="540" w:lineRule="exact"/>
        <w:ind w:left="549" w:firstLine="0" w:firstLineChars="0"/>
        <w:jc w:val="left"/>
        <w:rPr>
          <w:rFonts w:hint="eastAsia" w:ascii="仿宋" w:hAnsi="仿宋" w:eastAsia="仿宋" w:cs="FZFSJW--GB1-0"/>
          <w:color w:val="000000" w:themeColor="text1"/>
          <w:spacing w:val="-6"/>
          <w:sz w:val="30"/>
          <w:szCs w:val="30"/>
          <w:shd w:val="clear"/>
          <w14:textFill>
            <w14:solidFill>
              <w14:schemeClr w14:val="tx1"/>
            </w14:solidFill>
          </w14:textFill>
        </w:rPr>
      </w:pPr>
      <w:r>
        <w:rPr>
          <w:rFonts w:hint="eastAsia" w:ascii="仿宋" w:hAnsi="仿宋" w:eastAsia="仿宋" w:cs="FZFSJW--GB1-0"/>
          <w:color w:val="000000"/>
          <w:spacing w:val="-6"/>
          <w:sz w:val="30"/>
          <w:szCs w:val="30"/>
          <w:shd w:val="clear" w:fill="auto"/>
        </w:rPr>
        <w:t>建立绿色供应链管理体系，主动承担环境保护等社会责任，</w:t>
      </w:r>
    </w:p>
    <w:p>
      <w:pPr>
        <w:pStyle w:val="20"/>
        <w:widowControl/>
        <w:numPr>
          <w:ilvl w:val="-1"/>
          <w:numId w:val="0"/>
        </w:numPr>
        <w:spacing w:line="540" w:lineRule="exact"/>
        <w:ind w:firstLine="0" w:firstLineChars="0"/>
        <w:jc w:val="left"/>
        <w:rPr>
          <w:rFonts w:hint="eastAsia" w:ascii="仿宋" w:hAnsi="仿宋" w:eastAsia="仿宋" w:cs="FZFSJW--GB1-0"/>
          <w:color w:val="000000"/>
          <w:spacing w:val="-6"/>
          <w:sz w:val="30"/>
          <w:szCs w:val="30"/>
          <w:shd w:val="clear" w:fill="auto"/>
        </w:rPr>
      </w:pPr>
      <w:r>
        <w:rPr>
          <w:rFonts w:hint="eastAsia" w:ascii="仿宋" w:hAnsi="仿宋" w:eastAsia="仿宋" w:cs="FZFSJW--GB1-0"/>
          <w:color w:val="000000"/>
          <w:spacing w:val="-6"/>
          <w:sz w:val="30"/>
          <w:szCs w:val="30"/>
          <w:shd w:val="clear" w:fill="auto"/>
        </w:rPr>
        <w:t>自觉实施和强化绿色采购。</w:t>
      </w:r>
    </w:p>
    <w:p>
      <w:pPr>
        <w:pStyle w:val="20"/>
        <w:widowControl/>
        <w:numPr>
          <w:ilvl w:val="0"/>
          <w:numId w:val="7"/>
        </w:numPr>
        <w:spacing w:line="540" w:lineRule="exact"/>
        <w:ind w:left="549" w:firstLine="0" w:firstLineChars="0"/>
        <w:jc w:val="left"/>
        <w:rPr>
          <w:rFonts w:hint="eastAsia" w:ascii="仿宋" w:hAnsi="仿宋" w:eastAsia="仿宋" w:cs="FZFSJW--GB1-0"/>
          <w:color w:val="000000" w:themeColor="text1"/>
          <w:spacing w:val="-6"/>
          <w:sz w:val="30"/>
          <w:szCs w:val="30"/>
          <w:lang w:val="en-US" w:eastAsia="zh-CN"/>
          <w14:textFill>
            <w14:solidFill>
              <w14:schemeClr w14:val="tx1"/>
            </w14:solidFill>
          </w14:textFill>
        </w:rPr>
      </w:pPr>
      <w:r>
        <w:rPr>
          <w:rFonts w:hint="eastAsia" w:ascii="仿宋" w:hAnsi="仿宋" w:eastAsia="仿宋" w:cs="FZFSJW--GB1-0"/>
          <w:color w:val="333333"/>
          <w:spacing w:val="-6"/>
          <w:sz w:val="30"/>
          <w:szCs w:val="30"/>
        </w:rPr>
        <w:t>提供安全和健康的工作环境</w:t>
      </w:r>
      <w:r>
        <w:rPr>
          <w:rFonts w:hint="eastAsia" w:ascii="仿宋" w:hAnsi="仿宋" w:eastAsia="仿宋" w:cs="FZFSJW--GB1-0"/>
          <w:color w:val="333333"/>
          <w:spacing w:val="-6"/>
          <w:sz w:val="30"/>
          <w:szCs w:val="30"/>
          <w:lang w:eastAsia="zh-CN"/>
        </w:rPr>
        <w:t>，</w:t>
      </w:r>
      <w:r>
        <w:rPr>
          <w:rFonts w:hint="eastAsia" w:ascii="仿宋" w:hAnsi="仿宋" w:eastAsia="仿宋" w:cs="FZFSJW--GB1-0"/>
          <w:color w:val="333333"/>
          <w:spacing w:val="-6"/>
          <w:sz w:val="30"/>
          <w:szCs w:val="30"/>
          <w:lang w:val="en-US" w:eastAsia="zh-CN"/>
        </w:rPr>
        <w:t>防范风险事故，做好应急准</w:t>
      </w:r>
    </w:p>
    <w:p>
      <w:pPr>
        <w:pStyle w:val="20"/>
        <w:widowControl/>
        <w:numPr>
          <w:ilvl w:val="-1"/>
          <w:numId w:val="0"/>
        </w:numPr>
        <w:spacing w:line="540" w:lineRule="exact"/>
        <w:ind w:firstLine="0" w:firstLineChars="0"/>
        <w:jc w:val="left"/>
        <w:rPr>
          <w:rFonts w:hint="eastAsia" w:ascii="仿宋" w:hAnsi="仿宋" w:eastAsia="仿宋" w:cs="FZFSJW--GB1-0"/>
          <w:color w:val="000000"/>
          <w:spacing w:val="-6"/>
          <w:sz w:val="30"/>
          <w:szCs w:val="30"/>
          <w:shd w:val="clear" w:fill="auto"/>
          <w:lang w:val="en-US" w:eastAsia="zh-CN"/>
        </w:rPr>
      </w:pPr>
      <w:r>
        <w:rPr>
          <w:rFonts w:hint="eastAsia" w:ascii="仿宋" w:hAnsi="仿宋" w:eastAsia="仿宋" w:cs="FZFSJW--GB1-0"/>
          <w:color w:val="333333"/>
          <w:spacing w:val="-6"/>
          <w:sz w:val="30"/>
          <w:szCs w:val="30"/>
          <w:lang w:val="en-US" w:eastAsia="zh-CN"/>
        </w:rPr>
        <w:t>备。</w:t>
      </w:r>
    </w:p>
    <w:p>
      <w:pPr>
        <w:pStyle w:val="20"/>
        <w:widowControl/>
        <w:numPr>
          <w:ilvl w:val="0"/>
          <w:numId w:val="7"/>
        </w:numPr>
        <w:spacing w:line="540" w:lineRule="exact"/>
        <w:ind w:left="549" w:firstLine="0" w:firstLineChars="0"/>
        <w:jc w:val="left"/>
        <w:rPr>
          <w:rFonts w:hint="eastAsia" w:ascii="仿宋" w:hAnsi="仿宋" w:eastAsia="仿宋" w:cs="FZFSJW--GB1-0"/>
          <w:color w:val="000000" w:themeColor="text1"/>
          <w:spacing w:val="-6"/>
          <w:sz w:val="30"/>
          <w:szCs w:val="30"/>
          <w:lang w:val="en-US" w:eastAsia="zh-CN"/>
          <w14:textFill>
            <w14:solidFill>
              <w14:schemeClr w14:val="tx1"/>
            </w14:solidFill>
          </w14:textFill>
        </w:rPr>
      </w:pPr>
      <w:r>
        <w:rPr>
          <w:rFonts w:hint="eastAsia" w:ascii="仿宋" w:hAnsi="仿宋" w:eastAsia="仿宋" w:cs="FZFSJW--GB1-0"/>
          <w:color w:val="333333"/>
          <w:spacing w:val="-6"/>
          <w:sz w:val="30"/>
          <w:szCs w:val="30"/>
          <w:lang w:val="en-US" w:eastAsia="zh-CN"/>
        </w:rPr>
        <w:t>严格遵</w:t>
      </w:r>
      <w:r>
        <w:rPr>
          <w:rFonts w:hint="eastAsia" w:ascii="仿宋" w:hAnsi="仿宋" w:eastAsia="仿宋" w:cs="FZFSJW--GB1-0"/>
          <w:color w:val="000000" w:themeColor="text1"/>
          <w:spacing w:val="-6"/>
          <w:sz w:val="30"/>
          <w:szCs w:val="30"/>
          <w:lang w:val="en-US" w:eastAsia="zh-CN"/>
          <w14:textFill>
            <w14:solidFill>
              <w14:schemeClr w14:val="tx1"/>
            </w14:solidFill>
          </w14:textFill>
        </w:rPr>
        <w:t>循与员工权利相关的国家法律、法规，维</w:t>
      </w:r>
      <w:r>
        <w:rPr>
          <w:rFonts w:hint="eastAsia" w:ascii="仿宋" w:hAnsi="仿宋" w:eastAsia="仿宋" w:cs="FZFSJW--GB1-0"/>
          <w:color w:val="333333"/>
          <w:spacing w:val="-6"/>
          <w:sz w:val="30"/>
          <w:szCs w:val="30"/>
        </w:rPr>
        <w:t>护</w:t>
      </w:r>
      <w:r>
        <w:rPr>
          <w:rFonts w:hint="eastAsia" w:ascii="仿宋" w:hAnsi="仿宋" w:eastAsia="仿宋" w:cs="FZFSJW--GB1-0"/>
          <w:color w:val="333333"/>
          <w:spacing w:val="-6"/>
          <w:sz w:val="30"/>
          <w:szCs w:val="30"/>
          <w:lang w:val="en-US" w:eastAsia="zh-CN"/>
        </w:rPr>
        <w:t>员工合法</w:t>
      </w:r>
    </w:p>
    <w:p>
      <w:pPr>
        <w:pStyle w:val="20"/>
        <w:widowControl/>
        <w:numPr>
          <w:ilvl w:val="-1"/>
          <w:numId w:val="0"/>
        </w:numPr>
        <w:spacing w:line="540" w:lineRule="exact"/>
        <w:ind w:firstLine="0" w:firstLineChars="0"/>
        <w:jc w:val="left"/>
        <w:rPr>
          <w:rFonts w:hint="eastAsia" w:ascii="仿宋" w:hAnsi="仿宋" w:eastAsia="仿宋" w:cs="FZFSJW--GB1-0"/>
          <w:color w:val="333333"/>
          <w:spacing w:val="-6"/>
          <w:sz w:val="30"/>
          <w:szCs w:val="30"/>
          <w:lang w:val="en-US" w:eastAsia="zh-CN"/>
        </w:rPr>
      </w:pPr>
      <w:r>
        <w:rPr>
          <w:rFonts w:hint="eastAsia" w:ascii="仿宋" w:hAnsi="仿宋" w:eastAsia="仿宋" w:cs="FZFSJW--GB1-0"/>
          <w:color w:val="333333"/>
          <w:spacing w:val="-6"/>
          <w:sz w:val="30"/>
          <w:szCs w:val="30"/>
          <w:lang w:val="en-US" w:eastAsia="zh-CN"/>
        </w:rPr>
        <w:t>权益。</w:t>
      </w:r>
    </w:p>
    <w:p>
      <w:pPr>
        <w:pStyle w:val="20"/>
        <w:widowControl/>
        <w:numPr>
          <w:ilvl w:val="-1"/>
          <w:numId w:val="0"/>
        </w:numPr>
        <w:spacing w:line="540" w:lineRule="exact"/>
        <w:ind w:firstLine="576" w:firstLineChars="200"/>
        <w:jc w:val="left"/>
        <w:rPr>
          <w:rFonts w:hint="default" w:ascii="仿宋" w:hAnsi="仿宋" w:eastAsia="仿宋" w:cs="FZFSJW--GB1-0"/>
          <w:color w:val="333333"/>
          <w:spacing w:val="-6"/>
          <w:sz w:val="30"/>
          <w:szCs w:val="30"/>
          <w:lang w:val="en-US" w:eastAsia="zh-CN"/>
        </w:rPr>
      </w:pPr>
      <w:r>
        <w:rPr>
          <w:rFonts w:hint="eastAsia" w:ascii="仿宋" w:hAnsi="仿宋" w:eastAsia="仿宋" w:cs="FZFSJW--GB1-0"/>
          <w:color w:val="333333"/>
          <w:spacing w:val="-6"/>
          <w:sz w:val="30"/>
          <w:szCs w:val="30"/>
          <w:lang w:val="en-US" w:eastAsia="zh-CN"/>
        </w:rPr>
        <w:t>4.严格</w:t>
      </w:r>
      <w:r>
        <w:rPr>
          <w:rFonts w:hint="eastAsia" w:ascii="仿宋" w:hAnsi="仿宋" w:eastAsia="仿宋" w:cs="FZFSJW--GB1-0"/>
          <w:color w:val="000000" w:themeColor="text1"/>
          <w:spacing w:val="-6"/>
          <w:sz w:val="30"/>
          <w:szCs w:val="30"/>
          <w:lang w:val="en-US" w:eastAsia="zh-CN"/>
          <w14:textFill>
            <w14:solidFill>
              <w14:schemeClr w14:val="tx1"/>
            </w14:solidFill>
          </w14:textFill>
        </w:rPr>
        <w:t>遵守反贿赂、反贪污、反虚假宣传等不正当商业行为有关的法律规定。</w:t>
      </w:r>
    </w:p>
    <w:p>
      <w:pPr>
        <w:pStyle w:val="20"/>
        <w:widowControl/>
        <w:numPr>
          <w:ilvl w:val="0"/>
          <w:numId w:val="5"/>
        </w:numPr>
        <w:spacing w:line="540" w:lineRule="exact"/>
        <w:ind w:firstLine="549" w:firstLineChars="0"/>
        <w:jc w:val="left"/>
        <w:rPr>
          <w:rFonts w:ascii="仿宋" w:hAnsi="仿宋" w:eastAsia="仿宋" w:cs="FZFSJW--GB1-0"/>
          <w:color w:val="000000" w:themeColor="text1"/>
          <w:spacing w:val="-6"/>
          <w:sz w:val="30"/>
          <w:szCs w:val="30"/>
          <w14:textFill>
            <w14:solidFill>
              <w14:schemeClr w14:val="tx1"/>
            </w14:solidFill>
          </w14:textFill>
        </w:rPr>
      </w:pPr>
      <w:r>
        <w:rPr>
          <w:rFonts w:hint="eastAsia" w:ascii="仿宋" w:hAnsi="仿宋" w:eastAsia="仿宋" w:cs="FZFSJW--GB1-0"/>
          <w:color w:val="000000" w:themeColor="text1"/>
          <w:spacing w:val="-6"/>
          <w:sz w:val="30"/>
          <w:szCs w:val="30"/>
          <w14:textFill>
            <w14:solidFill>
              <w14:schemeClr w14:val="tx1"/>
            </w14:solidFill>
          </w14:textFill>
        </w:rPr>
        <w:t>本声明的成立、生效、履行和解释，均适用于中华人民共和国法律；法律无明文规定的，可适用通行的交易惯例。</w:t>
      </w:r>
    </w:p>
    <w:p>
      <w:pPr>
        <w:pStyle w:val="20"/>
        <w:widowControl/>
        <w:numPr>
          <w:ilvl w:val="0"/>
          <w:numId w:val="5"/>
        </w:numPr>
        <w:spacing w:line="540" w:lineRule="exact"/>
        <w:ind w:firstLine="549" w:firstLineChars="0"/>
        <w:rPr>
          <w:rFonts w:ascii="仿宋" w:hAnsi="仿宋" w:eastAsia="仿宋" w:cs="FZFSJW--GB1-0"/>
          <w:color w:val="000000" w:themeColor="text1"/>
          <w:spacing w:val="-6"/>
          <w:sz w:val="30"/>
          <w:szCs w:val="30"/>
          <w14:textFill>
            <w14:solidFill>
              <w14:schemeClr w14:val="tx1"/>
            </w14:solidFill>
          </w14:textFill>
        </w:rPr>
      </w:pPr>
      <w:r>
        <w:rPr>
          <w:rFonts w:hint="eastAsia" w:ascii="仿宋" w:hAnsi="仿宋" w:eastAsia="仿宋" w:cs="FZFSJW--GB1-0"/>
          <w:color w:val="000000" w:themeColor="text1"/>
          <w:spacing w:val="-6"/>
          <w:sz w:val="30"/>
          <w:szCs w:val="30"/>
          <w14:textFill>
            <w14:solidFill>
              <w14:schemeClr w14:val="tx1"/>
            </w14:solidFill>
          </w14:textFill>
        </w:rPr>
        <w:t>本声明由本公司加盖公章后生效。若本公司需终止声明，在提交书面说明并经太平洋安信农业保险股份有限公司书面同意后本声明终止。如本公司出现违约或违法违规行为，承诺按照太平洋安信农业保险股份有限公司相关规定办法进行惩处。</w:t>
      </w:r>
    </w:p>
    <w:p>
      <w:pPr>
        <w:widowControl/>
        <w:spacing w:line="540" w:lineRule="exact"/>
        <w:ind w:firstLine="578" w:firstLineChars="200"/>
        <w:jc w:val="left"/>
        <w:rPr>
          <w:rFonts w:ascii="仿宋" w:hAnsi="仿宋" w:eastAsia="仿宋" w:cs="FZFSJW--GB1-0"/>
          <w:b/>
          <w:spacing w:val="-6"/>
          <w:sz w:val="30"/>
          <w:szCs w:val="30"/>
        </w:rPr>
      </w:pPr>
      <w:r>
        <w:rPr>
          <w:rFonts w:hint="eastAsia" w:ascii="仿宋" w:hAnsi="仿宋" w:eastAsia="仿宋" w:cs="FZFSJW--GB1-0"/>
          <w:b/>
          <w:spacing w:val="-6"/>
          <w:sz w:val="30"/>
          <w:szCs w:val="30"/>
        </w:rPr>
        <w:t>以上条款，</w:t>
      </w:r>
      <w:r>
        <w:rPr>
          <w:rFonts w:hint="eastAsia" w:ascii="仿宋" w:hAnsi="仿宋" w:eastAsia="仿宋" w:cs="Arial"/>
          <w:b/>
          <w:color w:val="333333"/>
          <w:spacing w:val="-6"/>
          <w:sz w:val="30"/>
          <w:szCs w:val="30"/>
        </w:rPr>
        <w:t>若有违反任意一条，本公司自愿接受相应处罚</w:t>
      </w:r>
      <w:r>
        <w:rPr>
          <w:rFonts w:hint="eastAsia" w:ascii="仿宋" w:hAnsi="仿宋" w:eastAsia="仿宋" w:cs="宋体"/>
          <w:b/>
          <w:spacing w:val="-6"/>
          <w:sz w:val="30"/>
          <w:szCs w:val="30"/>
        </w:rPr>
        <w:t>，特此声明！</w:t>
      </w:r>
    </w:p>
    <w:p>
      <w:pPr>
        <w:widowControl/>
        <w:spacing w:line="540" w:lineRule="exact"/>
        <w:jc w:val="left"/>
        <w:rPr>
          <w:rFonts w:ascii="仿宋" w:hAnsi="仿宋" w:eastAsia="仿宋" w:cs="FZFSJW--GB1-0"/>
          <w:spacing w:val="-6"/>
          <w:sz w:val="30"/>
          <w:szCs w:val="30"/>
        </w:rPr>
      </w:pPr>
    </w:p>
    <w:p>
      <w:pPr>
        <w:widowControl/>
        <w:spacing w:line="540" w:lineRule="exact"/>
        <w:jc w:val="left"/>
        <w:rPr>
          <w:rFonts w:ascii="仿宋" w:hAnsi="仿宋" w:eastAsia="仿宋" w:cs="FZFSJW--GB1-0"/>
          <w:spacing w:val="-6"/>
          <w:sz w:val="30"/>
          <w:szCs w:val="30"/>
        </w:rPr>
      </w:pPr>
    </w:p>
    <w:p>
      <w:pPr>
        <w:widowControl/>
        <w:spacing w:line="540" w:lineRule="exact"/>
        <w:jc w:val="left"/>
        <w:rPr>
          <w:rFonts w:ascii="仿宋" w:hAnsi="仿宋" w:eastAsia="仿宋" w:cs="FZFSJW--GB1-0"/>
          <w:spacing w:val="-6"/>
          <w:sz w:val="30"/>
          <w:szCs w:val="30"/>
        </w:rPr>
      </w:pPr>
      <w:r>
        <w:rPr>
          <w:rFonts w:hint="eastAsia" w:ascii="仿宋" w:hAnsi="仿宋" w:eastAsia="仿宋" w:cs="FZFSJW--GB1-0"/>
          <w:spacing w:val="-6"/>
          <w:sz w:val="30"/>
          <w:szCs w:val="30"/>
        </w:rPr>
        <w:t>法定代表人或授权代表签字：</w:t>
      </w:r>
    </w:p>
    <w:p>
      <w:pPr>
        <w:widowControl/>
        <w:spacing w:line="540" w:lineRule="exact"/>
        <w:jc w:val="left"/>
        <w:rPr>
          <w:rFonts w:ascii="仿宋" w:hAnsi="仿宋" w:eastAsia="仿宋" w:cs="FZFSJW--GB1-0"/>
          <w:spacing w:val="-6"/>
          <w:sz w:val="30"/>
          <w:szCs w:val="30"/>
        </w:rPr>
      </w:pPr>
      <w:r>
        <w:rPr>
          <w:rFonts w:hint="eastAsia" w:ascii="仿宋" w:hAnsi="仿宋" w:eastAsia="仿宋" w:cs="FZFSJW--GB1-0"/>
          <w:spacing w:val="-6"/>
          <w:sz w:val="30"/>
          <w:szCs w:val="30"/>
        </w:rPr>
        <w:t>公司（公章）：</w:t>
      </w:r>
    </w:p>
    <w:p>
      <w:pPr>
        <w:widowControl/>
        <w:spacing w:line="540" w:lineRule="exact"/>
        <w:jc w:val="left"/>
        <w:rPr>
          <w:rFonts w:ascii="仿宋" w:hAnsi="仿宋" w:eastAsia="仿宋" w:cs="FZFSJW--GB1-0"/>
          <w:spacing w:val="-6"/>
          <w:sz w:val="30"/>
          <w:szCs w:val="30"/>
        </w:rPr>
      </w:pPr>
      <w:r>
        <w:rPr>
          <w:rFonts w:hint="eastAsia" w:ascii="仿宋" w:hAnsi="仿宋" w:eastAsia="仿宋" w:cs="FZFSJW--GB1-0"/>
          <w:spacing w:val="-6"/>
          <w:sz w:val="30"/>
          <w:szCs w:val="30"/>
        </w:rPr>
        <w:t xml:space="preserve">声明签署地：上海市      </w:t>
      </w:r>
    </w:p>
    <w:p>
      <w:pPr>
        <w:spacing w:line="540" w:lineRule="exact"/>
        <w:rPr>
          <w:rFonts w:hint="eastAsia" w:ascii="仿宋" w:hAnsi="仿宋" w:eastAsia="仿宋"/>
          <w:spacing w:val="-6"/>
          <w:sz w:val="30"/>
          <w:szCs w:val="30"/>
          <w:lang w:val="en-US" w:eastAsia="zh-CN"/>
        </w:rPr>
      </w:pPr>
      <w:r>
        <w:rPr>
          <w:rFonts w:hint="eastAsia" w:ascii="仿宋" w:hAnsi="仿宋" w:eastAsia="仿宋"/>
          <w:spacing w:val="-6"/>
          <w:sz w:val="30"/>
          <w:szCs w:val="30"/>
        </w:rPr>
        <w:t xml:space="preserve">                                        年    月    日</w:t>
      </w:r>
      <w:r>
        <w:rPr>
          <w:rFonts w:hint="eastAsia" w:ascii="仿宋" w:hAnsi="仿宋" w:eastAsia="仿宋"/>
          <w:spacing w:val="-6"/>
          <w:sz w:val="30"/>
          <w:szCs w:val="30"/>
          <w:lang w:val="en-US" w:eastAsia="zh-CN"/>
        </w:rPr>
        <w:t xml:space="preserve">  </w:t>
      </w:r>
    </w:p>
    <w:p>
      <w:pPr>
        <w:spacing w:line="540" w:lineRule="exact"/>
        <w:rPr>
          <w:rFonts w:hint="default" w:ascii="仿宋" w:hAnsi="仿宋" w:eastAsia="仿宋"/>
          <w:spacing w:val="-6"/>
          <w:sz w:val="30"/>
          <w:szCs w:val="30"/>
          <w:lang w:val="en-US" w:eastAsia="zh-CN"/>
        </w:rPr>
      </w:pPr>
    </w:p>
    <w:sectPr>
      <w:headerReference r:id="rId5" w:type="default"/>
      <w:footerReference r:id="rId6" w:type="default"/>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Futura Bk">
    <w:altName w:val="Segoe Print"/>
    <w:panose1 w:val="00000000000000000000"/>
    <w:charset w:val="00"/>
    <w:family w:val="swiss"/>
    <w:pitch w:val="default"/>
    <w:sig w:usb0="00000000" w:usb1="00000000" w:usb2="00000000" w:usb3="00000000" w:csb0="0000009F" w:csb1="00000000"/>
  </w:font>
  <w:font w:name="Garamond">
    <w:altName w:val="Segoe Print"/>
    <w:panose1 w:val="02020404030301010803"/>
    <w:charset w:val="00"/>
    <w:family w:val="roman"/>
    <w:pitch w:val="default"/>
    <w:sig w:usb0="00000000" w:usb1="00000000" w:usb2="00000000" w:usb3="00000000" w:csb0="0000009F" w:csb1="00000000"/>
  </w:font>
  <w:font w:name="仿宋">
    <w:panose1 w:val="02010609060101010101"/>
    <w:charset w:val="86"/>
    <w:family w:val="modern"/>
    <w:pitch w:val="default"/>
    <w:sig w:usb0="800002BF" w:usb1="38CF7CFA" w:usb2="00000016"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FZFSJW--GB1-0">
    <w:altName w:val="Segoe Print"/>
    <w:panose1 w:val="00000000000000000000"/>
    <w:charset w:val="00"/>
    <w:family w:val="roman"/>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5"/>
      </w:rPr>
    </w:pPr>
    <w:r>
      <w:fldChar w:fldCharType="begin"/>
    </w:r>
    <w:r>
      <w:rPr>
        <w:rStyle w:val="15"/>
      </w:rPr>
      <w:instrText xml:space="preserve">PAGE  </w:instrText>
    </w:r>
    <w:r>
      <w:fldChar w:fldCharType="separate"/>
    </w:r>
    <w:r>
      <w:rPr>
        <w:rStyle w:val="15"/>
      </w:rPr>
      <w:t>15</w:t>
    </w:r>
    <w:r>
      <w:fldChar w:fldCharType="end"/>
    </w:r>
  </w:p>
  <w:p>
    <w:pPr>
      <w:pStyle w:val="8"/>
      <w:jc w:val="center"/>
      <w:rPr>
        <w:rFonts w:ascii="Arial" w:hAnsi="Arial" w:cs="Aria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5"/>
      </w:rPr>
    </w:pPr>
    <w:r>
      <w:fldChar w:fldCharType="begin"/>
    </w:r>
    <w:r>
      <w:rPr>
        <w:rStyle w:val="15"/>
      </w:rPr>
      <w:instrText xml:space="preserve">PAGE  </w:instrText>
    </w:r>
    <w:r>
      <w:fldChar w:fldCharType="separate"/>
    </w:r>
    <w:r>
      <w:rPr>
        <w:rStyle w:val="15"/>
      </w:rPr>
      <w:t>15</w:t>
    </w:r>
    <w:r>
      <w:fldChar w:fldCharType="end"/>
    </w:r>
  </w:p>
  <w:p>
    <w:pPr>
      <w:pStyle w:val="8"/>
      <w:jc w:val="center"/>
      <w:rPr>
        <w:rFonts w:ascii="Arial" w:hAnsi="Arial" w:cs="Arial"/>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rFonts w:hint="eastAsia"/>
      </w:rPr>
      <w:t>太平洋安信农业保险股份有限公司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rFonts w:hint="eastAsia"/>
      </w:rPr>
      <w:t>太平洋安信农业保险股份有限公司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CB5438E"/>
    <w:multiLevelType w:val="singleLevel"/>
    <w:tmpl w:val="BCB5438E"/>
    <w:lvl w:ilvl="0" w:tentative="0">
      <w:start w:val="3"/>
      <w:numFmt w:val="decimal"/>
      <w:suff w:val="nothing"/>
      <w:lvlText w:val="%1）"/>
      <w:lvlJc w:val="left"/>
    </w:lvl>
  </w:abstractNum>
  <w:abstractNum w:abstractNumId="1">
    <w:nsid w:val="D3BC3F36"/>
    <w:multiLevelType w:val="singleLevel"/>
    <w:tmpl w:val="D3BC3F36"/>
    <w:lvl w:ilvl="0" w:tentative="0">
      <w:start w:val="1"/>
      <w:numFmt w:val="chineseCounting"/>
      <w:suff w:val="nothing"/>
      <w:lvlText w:val="%1、"/>
      <w:lvlJc w:val="left"/>
      <w:rPr>
        <w:rFonts w:hint="eastAsia"/>
      </w:rPr>
    </w:lvl>
  </w:abstractNum>
  <w:abstractNum w:abstractNumId="2">
    <w:nsid w:val="E7F511F9"/>
    <w:multiLevelType w:val="multilevel"/>
    <w:tmpl w:val="E7F511F9"/>
    <w:lvl w:ilvl="0" w:tentative="0">
      <w:start w:val="1"/>
      <w:numFmt w:val="decimal"/>
      <w:suff w:val="space"/>
      <w:lvlText w:val="%1."/>
      <w:lvlJc w:val="left"/>
      <w:pPr>
        <w:ind w:left="-62" w:firstLine="522"/>
      </w:pPr>
      <w:rPr>
        <w:rFonts w:hint="default"/>
      </w:rPr>
    </w:lvl>
    <w:lvl w:ilvl="1" w:tentative="0">
      <w:start w:val="1"/>
      <w:numFmt w:val="decimal"/>
      <w:lvlText w:val="%1.%2."/>
      <w:lvlJc w:val="left"/>
      <w:pPr>
        <w:tabs>
          <w:tab w:val="left" w:pos="312"/>
        </w:tabs>
        <w:ind w:left="0" w:firstLine="0"/>
      </w:pPr>
      <w:rPr>
        <w:rFonts w:hint="default"/>
      </w:rPr>
    </w:lvl>
    <w:lvl w:ilvl="2" w:tentative="0">
      <w:start w:val="1"/>
      <w:numFmt w:val="decimal"/>
      <w:lvlText w:val="%1.%2.%3."/>
      <w:lvlJc w:val="left"/>
      <w:pPr>
        <w:tabs>
          <w:tab w:val="left" w:pos="312"/>
        </w:tabs>
        <w:ind w:left="0" w:firstLine="0"/>
      </w:pPr>
      <w:rPr>
        <w:rFonts w:hint="default"/>
      </w:rPr>
    </w:lvl>
    <w:lvl w:ilvl="3" w:tentative="0">
      <w:start w:val="1"/>
      <w:numFmt w:val="decimal"/>
      <w:lvlText w:val="%1.%2.%3.%4."/>
      <w:lvlJc w:val="left"/>
      <w:pPr>
        <w:tabs>
          <w:tab w:val="left" w:pos="312"/>
        </w:tabs>
        <w:ind w:left="0" w:firstLine="0"/>
      </w:pPr>
      <w:rPr>
        <w:rFonts w:hint="default"/>
      </w:rPr>
    </w:lvl>
    <w:lvl w:ilvl="4" w:tentative="0">
      <w:start w:val="1"/>
      <w:numFmt w:val="decimal"/>
      <w:lvlText w:val="%1.%2.%3.%4.%5."/>
      <w:lvlJc w:val="left"/>
      <w:pPr>
        <w:tabs>
          <w:tab w:val="left" w:pos="312"/>
        </w:tabs>
        <w:ind w:left="0" w:firstLine="0"/>
      </w:pPr>
      <w:rPr>
        <w:rFonts w:hint="default"/>
      </w:rPr>
    </w:lvl>
    <w:lvl w:ilvl="5" w:tentative="0">
      <w:start w:val="1"/>
      <w:numFmt w:val="decimal"/>
      <w:lvlText w:val="%1.%2.%3.%4.%5.%6."/>
      <w:lvlJc w:val="left"/>
      <w:pPr>
        <w:tabs>
          <w:tab w:val="left" w:pos="312"/>
        </w:tabs>
        <w:ind w:left="0" w:firstLine="0"/>
      </w:pPr>
      <w:rPr>
        <w:rFonts w:hint="default"/>
      </w:rPr>
    </w:lvl>
    <w:lvl w:ilvl="6" w:tentative="0">
      <w:start w:val="1"/>
      <w:numFmt w:val="decimal"/>
      <w:lvlText w:val="%1.%2.%3.%4.%5.%6.%7."/>
      <w:lvlJc w:val="left"/>
      <w:pPr>
        <w:tabs>
          <w:tab w:val="left" w:pos="312"/>
        </w:tabs>
        <w:ind w:left="0" w:firstLine="0"/>
      </w:pPr>
      <w:rPr>
        <w:rFonts w:hint="default"/>
      </w:rPr>
    </w:lvl>
    <w:lvl w:ilvl="7" w:tentative="0">
      <w:start w:val="1"/>
      <w:numFmt w:val="decimal"/>
      <w:lvlText w:val="%1.%2.%3.%4.%5.%6.%7.%8."/>
      <w:lvlJc w:val="left"/>
      <w:pPr>
        <w:tabs>
          <w:tab w:val="left" w:pos="312"/>
        </w:tabs>
        <w:ind w:left="0" w:firstLine="0"/>
      </w:pPr>
      <w:rPr>
        <w:rFonts w:hint="default"/>
      </w:rPr>
    </w:lvl>
    <w:lvl w:ilvl="8" w:tentative="0">
      <w:start w:val="1"/>
      <w:numFmt w:val="decimal"/>
      <w:lvlText w:val="%1.%2.%3.%4.%5.%6.%7.%8.%9."/>
      <w:lvlJc w:val="left"/>
      <w:pPr>
        <w:tabs>
          <w:tab w:val="left" w:pos="312"/>
        </w:tabs>
        <w:ind w:left="0" w:firstLine="0"/>
      </w:pPr>
      <w:rPr>
        <w:rFonts w:hint="default"/>
      </w:rPr>
    </w:lvl>
  </w:abstractNum>
  <w:abstractNum w:abstractNumId="3">
    <w:nsid w:val="00000003"/>
    <w:multiLevelType w:val="multilevel"/>
    <w:tmpl w:val="00000003"/>
    <w:lvl w:ilvl="0" w:tentative="0">
      <w:start w:val="1"/>
      <w:numFmt w:val="decimal"/>
      <w:pStyle w:val="23"/>
      <w:lvlText w:val="%1"/>
      <w:lvlJc w:val="left"/>
      <w:pPr>
        <w:tabs>
          <w:tab w:val="left" w:pos="432"/>
        </w:tabs>
        <w:ind w:left="432" w:hanging="432"/>
      </w:pPr>
    </w:lvl>
    <w:lvl w:ilvl="1" w:tentative="0">
      <w:start w:val="1"/>
      <w:numFmt w:val="decimal"/>
      <w:pStyle w:val="22"/>
      <w:lvlText w:val="%1.%2"/>
      <w:lvlJc w:val="left"/>
      <w:pPr>
        <w:tabs>
          <w:tab w:val="left" w:pos="576"/>
        </w:tabs>
        <w:ind w:left="576"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4">
    <w:nsid w:val="1F343E3A"/>
    <w:multiLevelType w:val="multilevel"/>
    <w:tmpl w:val="1F343E3A"/>
    <w:lvl w:ilvl="0" w:tentative="0">
      <w:start w:val="1"/>
      <w:numFmt w:val="decimal"/>
      <w:lvlText w:val="%1."/>
      <w:lvlJc w:val="left"/>
      <w:pPr>
        <w:ind w:left="0" w:hanging="420"/>
      </w:pPr>
    </w:lvl>
    <w:lvl w:ilvl="1" w:tentative="0">
      <w:start w:val="1"/>
      <w:numFmt w:val="lowerLetter"/>
      <w:lvlText w:val="%2)"/>
      <w:lvlJc w:val="left"/>
      <w:pPr>
        <w:ind w:left="420" w:hanging="420"/>
      </w:pPr>
    </w:lvl>
    <w:lvl w:ilvl="2" w:tentative="0">
      <w:start w:val="1"/>
      <w:numFmt w:val="lowerRoman"/>
      <w:lvlText w:val="%3."/>
      <w:lvlJc w:val="right"/>
      <w:pPr>
        <w:ind w:left="840" w:hanging="420"/>
      </w:pPr>
    </w:lvl>
    <w:lvl w:ilvl="3" w:tentative="0">
      <w:start w:val="1"/>
      <w:numFmt w:val="decimal"/>
      <w:lvlText w:val="%4."/>
      <w:lvlJc w:val="left"/>
      <w:pPr>
        <w:ind w:left="1260" w:hanging="420"/>
      </w:pPr>
    </w:lvl>
    <w:lvl w:ilvl="4" w:tentative="0">
      <w:start w:val="1"/>
      <w:numFmt w:val="lowerLetter"/>
      <w:lvlText w:val="%5)"/>
      <w:lvlJc w:val="left"/>
      <w:pPr>
        <w:ind w:left="1680" w:hanging="420"/>
      </w:pPr>
    </w:lvl>
    <w:lvl w:ilvl="5" w:tentative="0">
      <w:start w:val="1"/>
      <w:numFmt w:val="lowerRoman"/>
      <w:lvlText w:val="%6."/>
      <w:lvlJc w:val="right"/>
      <w:pPr>
        <w:ind w:left="2100" w:hanging="420"/>
      </w:pPr>
    </w:lvl>
    <w:lvl w:ilvl="6" w:tentative="0">
      <w:start w:val="1"/>
      <w:numFmt w:val="decimal"/>
      <w:lvlText w:val="%7."/>
      <w:lvlJc w:val="left"/>
      <w:pPr>
        <w:ind w:left="2520" w:hanging="420"/>
      </w:pPr>
    </w:lvl>
    <w:lvl w:ilvl="7" w:tentative="0">
      <w:start w:val="1"/>
      <w:numFmt w:val="lowerLetter"/>
      <w:lvlText w:val="%8)"/>
      <w:lvlJc w:val="left"/>
      <w:pPr>
        <w:ind w:left="2940" w:hanging="420"/>
      </w:pPr>
    </w:lvl>
    <w:lvl w:ilvl="8" w:tentative="0">
      <w:start w:val="1"/>
      <w:numFmt w:val="lowerRoman"/>
      <w:lvlText w:val="%9."/>
      <w:lvlJc w:val="right"/>
      <w:pPr>
        <w:ind w:left="3360" w:hanging="420"/>
      </w:pPr>
    </w:lvl>
  </w:abstractNum>
  <w:abstractNum w:abstractNumId="5">
    <w:nsid w:val="4AE8F486"/>
    <w:multiLevelType w:val="singleLevel"/>
    <w:tmpl w:val="4AE8F486"/>
    <w:lvl w:ilvl="0" w:tentative="0">
      <w:start w:val="1"/>
      <w:numFmt w:val="decimal"/>
      <w:lvlText w:val="%1."/>
      <w:lvlJc w:val="left"/>
      <w:pPr>
        <w:tabs>
          <w:tab w:val="left" w:pos="312"/>
        </w:tabs>
      </w:pPr>
    </w:lvl>
  </w:abstractNum>
  <w:abstractNum w:abstractNumId="6">
    <w:nsid w:val="4D5D39C7"/>
    <w:multiLevelType w:val="multilevel"/>
    <w:tmpl w:val="4D5D39C7"/>
    <w:lvl w:ilvl="0" w:tentative="0">
      <w:start w:val="1"/>
      <w:numFmt w:val="japaneseCounting"/>
      <w:lvlText w:val="第%1条"/>
      <w:lvlJc w:val="left"/>
      <w:pPr>
        <w:ind w:left="0" w:hanging="1695"/>
      </w:pPr>
      <w:rPr>
        <w:rFonts w:hint="eastAsia" w:ascii="仿宋_GB2312" w:eastAsia="仿宋_GB2312" w:hAnsiTheme="minorEastAsia"/>
        <w:b/>
        <w:lang w:val="en-US"/>
      </w:rPr>
    </w:lvl>
    <w:lvl w:ilvl="1" w:tentative="0">
      <w:start w:val="1"/>
      <w:numFmt w:val="lowerLetter"/>
      <w:lvlText w:val="%2)"/>
      <w:lvlJc w:val="left"/>
      <w:pPr>
        <w:ind w:left="-855" w:hanging="420"/>
      </w:pPr>
    </w:lvl>
    <w:lvl w:ilvl="2" w:tentative="0">
      <w:start w:val="1"/>
      <w:numFmt w:val="lowerRoman"/>
      <w:lvlText w:val="%3."/>
      <w:lvlJc w:val="right"/>
      <w:pPr>
        <w:ind w:left="-435" w:hanging="420"/>
      </w:pPr>
    </w:lvl>
    <w:lvl w:ilvl="3" w:tentative="0">
      <w:start w:val="1"/>
      <w:numFmt w:val="decimal"/>
      <w:lvlText w:val="%4."/>
      <w:lvlJc w:val="left"/>
      <w:pPr>
        <w:ind w:left="-15" w:hanging="420"/>
      </w:pPr>
    </w:lvl>
    <w:lvl w:ilvl="4" w:tentative="0">
      <w:start w:val="1"/>
      <w:numFmt w:val="lowerLetter"/>
      <w:lvlText w:val="%5)"/>
      <w:lvlJc w:val="left"/>
      <w:pPr>
        <w:ind w:left="405" w:hanging="420"/>
      </w:pPr>
    </w:lvl>
    <w:lvl w:ilvl="5" w:tentative="0">
      <w:start w:val="1"/>
      <w:numFmt w:val="lowerRoman"/>
      <w:lvlText w:val="%6."/>
      <w:lvlJc w:val="right"/>
      <w:pPr>
        <w:ind w:left="825" w:hanging="420"/>
      </w:pPr>
    </w:lvl>
    <w:lvl w:ilvl="6" w:tentative="0">
      <w:start w:val="1"/>
      <w:numFmt w:val="decimal"/>
      <w:lvlText w:val="%7."/>
      <w:lvlJc w:val="left"/>
      <w:pPr>
        <w:ind w:left="1245" w:hanging="420"/>
      </w:pPr>
    </w:lvl>
    <w:lvl w:ilvl="7" w:tentative="0">
      <w:start w:val="1"/>
      <w:numFmt w:val="lowerLetter"/>
      <w:lvlText w:val="%8)"/>
      <w:lvlJc w:val="left"/>
      <w:pPr>
        <w:ind w:left="1665" w:hanging="420"/>
      </w:pPr>
    </w:lvl>
    <w:lvl w:ilvl="8" w:tentative="0">
      <w:start w:val="1"/>
      <w:numFmt w:val="lowerRoman"/>
      <w:lvlText w:val="%9."/>
      <w:lvlJc w:val="right"/>
      <w:pPr>
        <w:ind w:left="2085" w:hanging="420"/>
      </w:pPr>
    </w:lvl>
  </w:abstractNum>
  <w:num w:numId="1">
    <w:abstractNumId w:val="3"/>
  </w:num>
  <w:num w:numId="2">
    <w:abstractNumId w:val="1"/>
  </w:num>
  <w:num w:numId="3">
    <w:abstractNumId w:val="2"/>
  </w:num>
  <w:num w:numId="4">
    <w:abstractNumId w:val="0"/>
  </w:num>
  <w:num w:numId="5">
    <w:abstractNumId w:val="6"/>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2MTlmZTkwZjE4MzYyMjRhNzQ4ZDkyZjRlMGRlM2UifQ=="/>
  </w:docVars>
  <w:rsids>
    <w:rsidRoot w:val="7F0E237D"/>
    <w:rsid w:val="00047257"/>
    <w:rsid w:val="000A111C"/>
    <w:rsid w:val="000B5ABD"/>
    <w:rsid w:val="000C2DD2"/>
    <w:rsid w:val="000C3EB2"/>
    <w:rsid w:val="000E1515"/>
    <w:rsid w:val="000F5986"/>
    <w:rsid w:val="000F6441"/>
    <w:rsid w:val="00140723"/>
    <w:rsid w:val="00180505"/>
    <w:rsid w:val="001827B1"/>
    <w:rsid w:val="001B5D5C"/>
    <w:rsid w:val="00250B72"/>
    <w:rsid w:val="00292A78"/>
    <w:rsid w:val="002E1289"/>
    <w:rsid w:val="002E7E75"/>
    <w:rsid w:val="0035059E"/>
    <w:rsid w:val="003735F0"/>
    <w:rsid w:val="003B7F70"/>
    <w:rsid w:val="003D6824"/>
    <w:rsid w:val="003F168F"/>
    <w:rsid w:val="004473F5"/>
    <w:rsid w:val="004F5880"/>
    <w:rsid w:val="0051092A"/>
    <w:rsid w:val="005547B6"/>
    <w:rsid w:val="005E7F0F"/>
    <w:rsid w:val="006114BF"/>
    <w:rsid w:val="00626D6B"/>
    <w:rsid w:val="00632986"/>
    <w:rsid w:val="00665BB0"/>
    <w:rsid w:val="006B7C49"/>
    <w:rsid w:val="006C18BD"/>
    <w:rsid w:val="0073210F"/>
    <w:rsid w:val="00767989"/>
    <w:rsid w:val="007A0407"/>
    <w:rsid w:val="007A0483"/>
    <w:rsid w:val="007B4127"/>
    <w:rsid w:val="007C31D3"/>
    <w:rsid w:val="00803687"/>
    <w:rsid w:val="00877BDB"/>
    <w:rsid w:val="008B7D4B"/>
    <w:rsid w:val="008D0D5E"/>
    <w:rsid w:val="008D2CA4"/>
    <w:rsid w:val="008F2996"/>
    <w:rsid w:val="009339F6"/>
    <w:rsid w:val="00937A7C"/>
    <w:rsid w:val="0097775D"/>
    <w:rsid w:val="00A604CF"/>
    <w:rsid w:val="00A74B50"/>
    <w:rsid w:val="00A808F9"/>
    <w:rsid w:val="00A909F6"/>
    <w:rsid w:val="00AC2573"/>
    <w:rsid w:val="00AC4246"/>
    <w:rsid w:val="00AD25C5"/>
    <w:rsid w:val="00AD4C3A"/>
    <w:rsid w:val="00AF1EB6"/>
    <w:rsid w:val="00AF6521"/>
    <w:rsid w:val="00B26B2E"/>
    <w:rsid w:val="00B332A6"/>
    <w:rsid w:val="00B345AC"/>
    <w:rsid w:val="00B45A43"/>
    <w:rsid w:val="00B4637D"/>
    <w:rsid w:val="00B52F84"/>
    <w:rsid w:val="00B63B77"/>
    <w:rsid w:val="00BB41E9"/>
    <w:rsid w:val="00BD7A42"/>
    <w:rsid w:val="00C259FB"/>
    <w:rsid w:val="00C3005A"/>
    <w:rsid w:val="00C31BD4"/>
    <w:rsid w:val="00C54605"/>
    <w:rsid w:val="00CD3D27"/>
    <w:rsid w:val="00D03CAB"/>
    <w:rsid w:val="00D04890"/>
    <w:rsid w:val="00DC02D9"/>
    <w:rsid w:val="00DE67C3"/>
    <w:rsid w:val="00E451C3"/>
    <w:rsid w:val="00E87685"/>
    <w:rsid w:val="00EB4CFC"/>
    <w:rsid w:val="00ED3549"/>
    <w:rsid w:val="00EF6602"/>
    <w:rsid w:val="00F76EE7"/>
    <w:rsid w:val="00FD5BD7"/>
    <w:rsid w:val="012E20D9"/>
    <w:rsid w:val="01376E0A"/>
    <w:rsid w:val="015A6B8C"/>
    <w:rsid w:val="01806305"/>
    <w:rsid w:val="01BD420B"/>
    <w:rsid w:val="01D837DB"/>
    <w:rsid w:val="01EC20F0"/>
    <w:rsid w:val="01FB23CB"/>
    <w:rsid w:val="023B6862"/>
    <w:rsid w:val="02736B92"/>
    <w:rsid w:val="02770411"/>
    <w:rsid w:val="028C553E"/>
    <w:rsid w:val="029D34DD"/>
    <w:rsid w:val="02FA438B"/>
    <w:rsid w:val="03441A33"/>
    <w:rsid w:val="035E5896"/>
    <w:rsid w:val="0361681B"/>
    <w:rsid w:val="036D16AC"/>
    <w:rsid w:val="03967BEE"/>
    <w:rsid w:val="03AE7E78"/>
    <w:rsid w:val="03BD7EF3"/>
    <w:rsid w:val="03DE1667"/>
    <w:rsid w:val="043B7CAA"/>
    <w:rsid w:val="04467D92"/>
    <w:rsid w:val="04602ECF"/>
    <w:rsid w:val="04617DF1"/>
    <w:rsid w:val="04822939"/>
    <w:rsid w:val="048961CB"/>
    <w:rsid w:val="05093353"/>
    <w:rsid w:val="054E05C4"/>
    <w:rsid w:val="055345C2"/>
    <w:rsid w:val="05683C61"/>
    <w:rsid w:val="056F2CF7"/>
    <w:rsid w:val="0586071E"/>
    <w:rsid w:val="05980638"/>
    <w:rsid w:val="05CE4396"/>
    <w:rsid w:val="060440EA"/>
    <w:rsid w:val="06071F71"/>
    <w:rsid w:val="066C39F1"/>
    <w:rsid w:val="06C248A3"/>
    <w:rsid w:val="06DE036C"/>
    <w:rsid w:val="070F4C5F"/>
    <w:rsid w:val="07824CE1"/>
    <w:rsid w:val="078A3EBB"/>
    <w:rsid w:val="079216F8"/>
    <w:rsid w:val="07AC659B"/>
    <w:rsid w:val="07E94F96"/>
    <w:rsid w:val="08140C79"/>
    <w:rsid w:val="082B1C77"/>
    <w:rsid w:val="082D0D5E"/>
    <w:rsid w:val="0861230D"/>
    <w:rsid w:val="08B14645"/>
    <w:rsid w:val="09205A07"/>
    <w:rsid w:val="092B5F96"/>
    <w:rsid w:val="094B3171"/>
    <w:rsid w:val="094E48C6"/>
    <w:rsid w:val="0969035A"/>
    <w:rsid w:val="09742F12"/>
    <w:rsid w:val="09793B17"/>
    <w:rsid w:val="09BC3307"/>
    <w:rsid w:val="09FF5075"/>
    <w:rsid w:val="0A4A209B"/>
    <w:rsid w:val="0A53127C"/>
    <w:rsid w:val="0ACF5720"/>
    <w:rsid w:val="0AF12519"/>
    <w:rsid w:val="0B0B7687"/>
    <w:rsid w:val="0B1D3CB4"/>
    <w:rsid w:val="0B20514C"/>
    <w:rsid w:val="0B446AEB"/>
    <w:rsid w:val="0B74045A"/>
    <w:rsid w:val="0BAD643E"/>
    <w:rsid w:val="0BB00EDF"/>
    <w:rsid w:val="0BB41243"/>
    <w:rsid w:val="0BD266BB"/>
    <w:rsid w:val="0BD75BB1"/>
    <w:rsid w:val="0BD83B6C"/>
    <w:rsid w:val="0BF50334"/>
    <w:rsid w:val="0C4D154C"/>
    <w:rsid w:val="0C7C180D"/>
    <w:rsid w:val="0C7F4FB6"/>
    <w:rsid w:val="0C882FCC"/>
    <w:rsid w:val="0C906CCE"/>
    <w:rsid w:val="0C9D11C1"/>
    <w:rsid w:val="0CE54E38"/>
    <w:rsid w:val="0CF33616"/>
    <w:rsid w:val="0D361973"/>
    <w:rsid w:val="0D7F3C8D"/>
    <w:rsid w:val="0D813111"/>
    <w:rsid w:val="0E4A2181"/>
    <w:rsid w:val="0EC54049"/>
    <w:rsid w:val="0F1D5B2A"/>
    <w:rsid w:val="0F5226DA"/>
    <w:rsid w:val="0F763E6D"/>
    <w:rsid w:val="0F824086"/>
    <w:rsid w:val="0FB43951"/>
    <w:rsid w:val="0FC33F6C"/>
    <w:rsid w:val="107D0655"/>
    <w:rsid w:val="108252A3"/>
    <w:rsid w:val="109601A7"/>
    <w:rsid w:val="10A36EC1"/>
    <w:rsid w:val="10A854E3"/>
    <w:rsid w:val="10DC7B0A"/>
    <w:rsid w:val="10E02E12"/>
    <w:rsid w:val="10E55348"/>
    <w:rsid w:val="10FA757F"/>
    <w:rsid w:val="11495BEA"/>
    <w:rsid w:val="114E0F8C"/>
    <w:rsid w:val="11DD425B"/>
    <w:rsid w:val="11EB3571"/>
    <w:rsid w:val="12503FC7"/>
    <w:rsid w:val="1252218F"/>
    <w:rsid w:val="129A09D5"/>
    <w:rsid w:val="12D0036B"/>
    <w:rsid w:val="12E06408"/>
    <w:rsid w:val="137017ED"/>
    <w:rsid w:val="13CF248D"/>
    <w:rsid w:val="13D9661F"/>
    <w:rsid w:val="13FD7AD9"/>
    <w:rsid w:val="143534B6"/>
    <w:rsid w:val="1458496F"/>
    <w:rsid w:val="147B3782"/>
    <w:rsid w:val="148E0DD7"/>
    <w:rsid w:val="1493535D"/>
    <w:rsid w:val="14AC0B76"/>
    <w:rsid w:val="150F669C"/>
    <w:rsid w:val="15367A62"/>
    <w:rsid w:val="15863D5C"/>
    <w:rsid w:val="158D3AD5"/>
    <w:rsid w:val="15981F0D"/>
    <w:rsid w:val="15C838CC"/>
    <w:rsid w:val="15EF7474"/>
    <w:rsid w:val="160A7DBA"/>
    <w:rsid w:val="164C2821"/>
    <w:rsid w:val="166D65D9"/>
    <w:rsid w:val="167F1D76"/>
    <w:rsid w:val="16D762C1"/>
    <w:rsid w:val="171A79F6"/>
    <w:rsid w:val="174C74BF"/>
    <w:rsid w:val="1763366E"/>
    <w:rsid w:val="178D396D"/>
    <w:rsid w:val="17A8449F"/>
    <w:rsid w:val="17F366E4"/>
    <w:rsid w:val="17F82CD2"/>
    <w:rsid w:val="17FA7064"/>
    <w:rsid w:val="18216F24"/>
    <w:rsid w:val="189823E5"/>
    <w:rsid w:val="18D52CC6"/>
    <w:rsid w:val="19232435"/>
    <w:rsid w:val="19553B80"/>
    <w:rsid w:val="196C36C2"/>
    <w:rsid w:val="1994112E"/>
    <w:rsid w:val="19B27DFD"/>
    <w:rsid w:val="19C76874"/>
    <w:rsid w:val="1A101FD2"/>
    <w:rsid w:val="1A415AA6"/>
    <w:rsid w:val="1A597E48"/>
    <w:rsid w:val="1A60277A"/>
    <w:rsid w:val="1AD25D17"/>
    <w:rsid w:val="1B2A271F"/>
    <w:rsid w:val="1B386080"/>
    <w:rsid w:val="1B6415FF"/>
    <w:rsid w:val="1B7F141F"/>
    <w:rsid w:val="1BDD5A46"/>
    <w:rsid w:val="1BE608D3"/>
    <w:rsid w:val="1BF43C15"/>
    <w:rsid w:val="1C201BB2"/>
    <w:rsid w:val="1C4D34E7"/>
    <w:rsid w:val="1C7350D2"/>
    <w:rsid w:val="1C9600FF"/>
    <w:rsid w:val="1C9F7D02"/>
    <w:rsid w:val="1CA36DC4"/>
    <w:rsid w:val="1D072A4B"/>
    <w:rsid w:val="1D7644E2"/>
    <w:rsid w:val="1DD65800"/>
    <w:rsid w:val="1E4A35C1"/>
    <w:rsid w:val="1E6027CC"/>
    <w:rsid w:val="1E6B4E00"/>
    <w:rsid w:val="1EDD6BE3"/>
    <w:rsid w:val="203B3D71"/>
    <w:rsid w:val="205B3B08"/>
    <w:rsid w:val="20686980"/>
    <w:rsid w:val="20B55234"/>
    <w:rsid w:val="20EC5159"/>
    <w:rsid w:val="214C7431"/>
    <w:rsid w:val="21641254"/>
    <w:rsid w:val="21C24F30"/>
    <w:rsid w:val="21C527C9"/>
    <w:rsid w:val="21C969FA"/>
    <w:rsid w:val="222E41A0"/>
    <w:rsid w:val="22717C98"/>
    <w:rsid w:val="22854BAF"/>
    <w:rsid w:val="22DB7B3C"/>
    <w:rsid w:val="22E04793"/>
    <w:rsid w:val="231B0DA1"/>
    <w:rsid w:val="23510E00"/>
    <w:rsid w:val="2378512C"/>
    <w:rsid w:val="23A32FA6"/>
    <w:rsid w:val="23D36806"/>
    <w:rsid w:val="23E76D75"/>
    <w:rsid w:val="241E4CD1"/>
    <w:rsid w:val="245A12B2"/>
    <w:rsid w:val="24BD384B"/>
    <w:rsid w:val="250273A3"/>
    <w:rsid w:val="250848CE"/>
    <w:rsid w:val="255549CD"/>
    <w:rsid w:val="256C23F4"/>
    <w:rsid w:val="25731D7F"/>
    <w:rsid w:val="259B76C0"/>
    <w:rsid w:val="25E22033"/>
    <w:rsid w:val="26341E3D"/>
    <w:rsid w:val="266037A8"/>
    <w:rsid w:val="2665260C"/>
    <w:rsid w:val="269A5064"/>
    <w:rsid w:val="26C145A3"/>
    <w:rsid w:val="26D45431"/>
    <w:rsid w:val="26D519C6"/>
    <w:rsid w:val="26D8294B"/>
    <w:rsid w:val="26EE654A"/>
    <w:rsid w:val="27090EBD"/>
    <w:rsid w:val="27231852"/>
    <w:rsid w:val="27496620"/>
    <w:rsid w:val="2759419E"/>
    <w:rsid w:val="2764252F"/>
    <w:rsid w:val="277C7BD6"/>
    <w:rsid w:val="27AB0725"/>
    <w:rsid w:val="27FB7400"/>
    <w:rsid w:val="28443D9B"/>
    <w:rsid w:val="287326EC"/>
    <w:rsid w:val="28762C22"/>
    <w:rsid w:val="28792077"/>
    <w:rsid w:val="288325A9"/>
    <w:rsid w:val="28900D75"/>
    <w:rsid w:val="28B53774"/>
    <w:rsid w:val="28B57D76"/>
    <w:rsid w:val="28CD3CE5"/>
    <w:rsid w:val="28E80A0C"/>
    <w:rsid w:val="28EE54ED"/>
    <w:rsid w:val="293564FD"/>
    <w:rsid w:val="29383F5B"/>
    <w:rsid w:val="295E5B6D"/>
    <w:rsid w:val="29B816FE"/>
    <w:rsid w:val="29C966E1"/>
    <w:rsid w:val="29CB539B"/>
    <w:rsid w:val="29D100AA"/>
    <w:rsid w:val="2A916E63"/>
    <w:rsid w:val="2AAA7D8D"/>
    <w:rsid w:val="2AB90816"/>
    <w:rsid w:val="2AC46689"/>
    <w:rsid w:val="2ACD1247"/>
    <w:rsid w:val="2B46348F"/>
    <w:rsid w:val="2B646134"/>
    <w:rsid w:val="2B7C4FDC"/>
    <w:rsid w:val="2BA769AB"/>
    <w:rsid w:val="2BAB53B1"/>
    <w:rsid w:val="2BD36A7F"/>
    <w:rsid w:val="2BDA5F01"/>
    <w:rsid w:val="2C2C3B39"/>
    <w:rsid w:val="2C6F5E22"/>
    <w:rsid w:val="2CB12207"/>
    <w:rsid w:val="2D22219D"/>
    <w:rsid w:val="2D23171B"/>
    <w:rsid w:val="2D5C786C"/>
    <w:rsid w:val="2D87511C"/>
    <w:rsid w:val="2D9265E0"/>
    <w:rsid w:val="2D9B3963"/>
    <w:rsid w:val="2DF47AA5"/>
    <w:rsid w:val="2E764C0D"/>
    <w:rsid w:val="2E830B22"/>
    <w:rsid w:val="2E835E5F"/>
    <w:rsid w:val="2ECB2EFB"/>
    <w:rsid w:val="2F035ABE"/>
    <w:rsid w:val="2F3D2E85"/>
    <w:rsid w:val="2F8C0890"/>
    <w:rsid w:val="2F9D2CB0"/>
    <w:rsid w:val="2FC51CEF"/>
    <w:rsid w:val="2FE36023"/>
    <w:rsid w:val="2FEE50B1"/>
    <w:rsid w:val="305D4027"/>
    <w:rsid w:val="30672D70"/>
    <w:rsid w:val="308952B0"/>
    <w:rsid w:val="308D1737"/>
    <w:rsid w:val="3091013E"/>
    <w:rsid w:val="30AC4300"/>
    <w:rsid w:val="30BD39AD"/>
    <w:rsid w:val="30ED4FD4"/>
    <w:rsid w:val="3148438F"/>
    <w:rsid w:val="31732CAF"/>
    <w:rsid w:val="317503B0"/>
    <w:rsid w:val="318036A3"/>
    <w:rsid w:val="318F6D5C"/>
    <w:rsid w:val="319E0FAA"/>
    <w:rsid w:val="32145110"/>
    <w:rsid w:val="321B43C1"/>
    <w:rsid w:val="324C7EAF"/>
    <w:rsid w:val="32526B61"/>
    <w:rsid w:val="32743B56"/>
    <w:rsid w:val="328E671A"/>
    <w:rsid w:val="32A94788"/>
    <w:rsid w:val="32AD0D07"/>
    <w:rsid w:val="32C600DD"/>
    <w:rsid w:val="32ED7F9D"/>
    <w:rsid w:val="33106D1D"/>
    <w:rsid w:val="33334D94"/>
    <w:rsid w:val="33B516C9"/>
    <w:rsid w:val="33BF106D"/>
    <w:rsid w:val="33E24B09"/>
    <w:rsid w:val="3417172E"/>
    <w:rsid w:val="346857E9"/>
    <w:rsid w:val="34A3046B"/>
    <w:rsid w:val="34D80120"/>
    <w:rsid w:val="34F80E58"/>
    <w:rsid w:val="350F0F1C"/>
    <w:rsid w:val="352C2A4A"/>
    <w:rsid w:val="35646427"/>
    <w:rsid w:val="35990E80"/>
    <w:rsid w:val="35BA13B5"/>
    <w:rsid w:val="35D80965"/>
    <w:rsid w:val="364623AB"/>
    <w:rsid w:val="368A5840"/>
    <w:rsid w:val="368E4C10"/>
    <w:rsid w:val="36CB4A75"/>
    <w:rsid w:val="36DE5C94"/>
    <w:rsid w:val="36E72D20"/>
    <w:rsid w:val="371046EF"/>
    <w:rsid w:val="37157635"/>
    <w:rsid w:val="37340C21"/>
    <w:rsid w:val="376D5783"/>
    <w:rsid w:val="37774B8E"/>
    <w:rsid w:val="37820CBF"/>
    <w:rsid w:val="37965442"/>
    <w:rsid w:val="37AE1F55"/>
    <w:rsid w:val="37B67EF6"/>
    <w:rsid w:val="37B833F9"/>
    <w:rsid w:val="38201B23"/>
    <w:rsid w:val="382175A5"/>
    <w:rsid w:val="38527D74"/>
    <w:rsid w:val="38D5034D"/>
    <w:rsid w:val="38E46799"/>
    <w:rsid w:val="393D3838"/>
    <w:rsid w:val="3942025E"/>
    <w:rsid w:val="3987236F"/>
    <w:rsid w:val="399B527B"/>
    <w:rsid w:val="39B6763B"/>
    <w:rsid w:val="39BA2C5E"/>
    <w:rsid w:val="39CF5FE7"/>
    <w:rsid w:val="39EA4612"/>
    <w:rsid w:val="3A423303"/>
    <w:rsid w:val="3A6E4506"/>
    <w:rsid w:val="3A782F7C"/>
    <w:rsid w:val="3A867EF3"/>
    <w:rsid w:val="3AB862B7"/>
    <w:rsid w:val="3AC540D5"/>
    <w:rsid w:val="3ACC4951"/>
    <w:rsid w:val="3ADF00FA"/>
    <w:rsid w:val="3B6C6D0D"/>
    <w:rsid w:val="3B750375"/>
    <w:rsid w:val="3BA24683"/>
    <w:rsid w:val="3BB33BFE"/>
    <w:rsid w:val="3BD11425"/>
    <w:rsid w:val="3BFF1AFF"/>
    <w:rsid w:val="3C122D1E"/>
    <w:rsid w:val="3C211544"/>
    <w:rsid w:val="3C551209"/>
    <w:rsid w:val="3C740891"/>
    <w:rsid w:val="3C8C6EE7"/>
    <w:rsid w:val="3CA21308"/>
    <w:rsid w:val="3CC90839"/>
    <w:rsid w:val="3D1B0F6B"/>
    <w:rsid w:val="3D9A7321"/>
    <w:rsid w:val="3DB21145"/>
    <w:rsid w:val="3DB633CE"/>
    <w:rsid w:val="3DF14E3C"/>
    <w:rsid w:val="3E282408"/>
    <w:rsid w:val="3E2F1D93"/>
    <w:rsid w:val="3E6C767A"/>
    <w:rsid w:val="3E767F89"/>
    <w:rsid w:val="3E7964D0"/>
    <w:rsid w:val="3E9F5FFB"/>
    <w:rsid w:val="3EBB4FEB"/>
    <w:rsid w:val="3EF52A56"/>
    <w:rsid w:val="3F520BF1"/>
    <w:rsid w:val="3F565079"/>
    <w:rsid w:val="3F875848"/>
    <w:rsid w:val="3F932AE8"/>
    <w:rsid w:val="3FAE3509"/>
    <w:rsid w:val="3FBB350B"/>
    <w:rsid w:val="3FD55EF5"/>
    <w:rsid w:val="3FDD07D5"/>
    <w:rsid w:val="405A52A2"/>
    <w:rsid w:val="40803C76"/>
    <w:rsid w:val="408525E0"/>
    <w:rsid w:val="40F93BEF"/>
    <w:rsid w:val="41076FBE"/>
    <w:rsid w:val="4133470E"/>
    <w:rsid w:val="415625C0"/>
    <w:rsid w:val="416163D3"/>
    <w:rsid w:val="417B6F7C"/>
    <w:rsid w:val="41A36E3C"/>
    <w:rsid w:val="41E93231"/>
    <w:rsid w:val="41EC7EC8"/>
    <w:rsid w:val="42675C80"/>
    <w:rsid w:val="42706590"/>
    <w:rsid w:val="42D84CBA"/>
    <w:rsid w:val="42E34900"/>
    <w:rsid w:val="430734D6"/>
    <w:rsid w:val="4329162D"/>
    <w:rsid w:val="4332664E"/>
    <w:rsid w:val="434652EE"/>
    <w:rsid w:val="43A31132"/>
    <w:rsid w:val="43BC4F2D"/>
    <w:rsid w:val="43D85A47"/>
    <w:rsid w:val="4421366C"/>
    <w:rsid w:val="444F7D1F"/>
    <w:rsid w:val="446C184E"/>
    <w:rsid w:val="447421C2"/>
    <w:rsid w:val="447A1E68"/>
    <w:rsid w:val="447D2DED"/>
    <w:rsid w:val="45002616"/>
    <w:rsid w:val="45387C9D"/>
    <w:rsid w:val="454D1B02"/>
    <w:rsid w:val="45775AA0"/>
    <w:rsid w:val="45811396"/>
    <w:rsid w:val="459F6EB3"/>
    <w:rsid w:val="463F4083"/>
    <w:rsid w:val="464858DB"/>
    <w:rsid w:val="4678706D"/>
    <w:rsid w:val="46C87FF5"/>
    <w:rsid w:val="46CA0433"/>
    <w:rsid w:val="46CF48BB"/>
    <w:rsid w:val="46D01A51"/>
    <w:rsid w:val="47087F18"/>
    <w:rsid w:val="47326B5E"/>
    <w:rsid w:val="473F25F0"/>
    <w:rsid w:val="474A36F4"/>
    <w:rsid w:val="47562215"/>
    <w:rsid w:val="47572097"/>
    <w:rsid w:val="476A1A4C"/>
    <w:rsid w:val="477445C3"/>
    <w:rsid w:val="479B6621"/>
    <w:rsid w:val="47A26ECB"/>
    <w:rsid w:val="47A97AA1"/>
    <w:rsid w:val="4869465C"/>
    <w:rsid w:val="48A62C83"/>
    <w:rsid w:val="48B1696D"/>
    <w:rsid w:val="48BD3FC2"/>
    <w:rsid w:val="48E46C3C"/>
    <w:rsid w:val="490F0CDB"/>
    <w:rsid w:val="4913451E"/>
    <w:rsid w:val="49190F7D"/>
    <w:rsid w:val="49300BA2"/>
    <w:rsid w:val="4941303B"/>
    <w:rsid w:val="49A62C02"/>
    <w:rsid w:val="49D822B4"/>
    <w:rsid w:val="49DF1E22"/>
    <w:rsid w:val="49F22E5E"/>
    <w:rsid w:val="49F772E6"/>
    <w:rsid w:val="4A521617"/>
    <w:rsid w:val="4AC60C16"/>
    <w:rsid w:val="4B12259C"/>
    <w:rsid w:val="4B4E7897"/>
    <w:rsid w:val="4B5814AC"/>
    <w:rsid w:val="4B5D20B0"/>
    <w:rsid w:val="4BCA32A3"/>
    <w:rsid w:val="4BD40DF5"/>
    <w:rsid w:val="4BE77322"/>
    <w:rsid w:val="4BEB0A07"/>
    <w:rsid w:val="4C012116"/>
    <w:rsid w:val="4C0E7CD6"/>
    <w:rsid w:val="4C207BF0"/>
    <w:rsid w:val="4C2A5F81"/>
    <w:rsid w:val="4C6C5AF1"/>
    <w:rsid w:val="4CAF1BB5"/>
    <w:rsid w:val="4CF621D2"/>
    <w:rsid w:val="4D043EC6"/>
    <w:rsid w:val="4D23781E"/>
    <w:rsid w:val="4D521266"/>
    <w:rsid w:val="4DC8252A"/>
    <w:rsid w:val="4DD56340"/>
    <w:rsid w:val="4DF468A4"/>
    <w:rsid w:val="4DFC3E55"/>
    <w:rsid w:val="4E1E76B5"/>
    <w:rsid w:val="4E6F2A88"/>
    <w:rsid w:val="4E715C09"/>
    <w:rsid w:val="4EBD1B3D"/>
    <w:rsid w:val="4EDE4270"/>
    <w:rsid w:val="4EFE25A7"/>
    <w:rsid w:val="4F6C66F8"/>
    <w:rsid w:val="4F760F6C"/>
    <w:rsid w:val="502515B8"/>
    <w:rsid w:val="504A124B"/>
    <w:rsid w:val="504C6A44"/>
    <w:rsid w:val="505C5D66"/>
    <w:rsid w:val="50851129"/>
    <w:rsid w:val="50E207FF"/>
    <w:rsid w:val="50FD4D3F"/>
    <w:rsid w:val="510B6E04"/>
    <w:rsid w:val="51114486"/>
    <w:rsid w:val="51244DDD"/>
    <w:rsid w:val="5147546F"/>
    <w:rsid w:val="514B566F"/>
    <w:rsid w:val="515D4046"/>
    <w:rsid w:val="517843C5"/>
    <w:rsid w:val="519E7986"/>
    <w:rsid w:val="51D20DCB"/>
    <w:rsid w:val="526336B8"/>
    <w:rsid w:val="52974D1F"/>
    <w:rsid w:val="52992845"/>
    <w:rsid w:val="53106787"/>
    <w:rsid w:val="53132A5C"/>
    <w:rsid w:val="53134F44"/>
    <w:rsid w:val="531D3476"/>
    <w:rsid w:val="536A60C3"/>
    <w:rsid w:val="53AC5583"/>
    <w:rsid w:val="53BE1870"/>
    <w:rsid w:val="54442C85"/>
    <w:rsid w:val="54544FDD"/>
    <w:rsid w:val="54794387"/>
    <w:rsid w:val="54D54951"/>
    <w:rsid w:val="54E33BD1"/>
    <w:rsid w:val="54F9581D"/>
    <w:rsid w:val="55067877"/>
    <w:rsid w:val="55071CA5"/>
    <w:rsid w:val="553A2677"/>
    <w:rsid w:val="554B00FD"/>
    <w:rsid w:val="554D57FF"/>
    <w:rsid w:val="55A971DC"/>
    <w:rsid w:val="56490D7E"/>
    <w:rsid w:val="569C0B56"/>
    <w:rsid w:val="56A662AB"/>
    <w:rsid w:val="56A77A21"/>
    <w:rsid w:val="5744373B"/>
    <w:rsid w:val="57586B58"/>
    <w:rsid w:val="57586BC2"/>
    <w:rsid w:val="577B1697"/>
    <w:rsid w:val="57844525"/>
    <w:rsid w:val="57C40364"/>
    <w:rsid w:val="57CB411A"/>
    <w:rsid w:val="57F57FA5"/>
    <w:rsid w:val="57FE63ED"/>
    <w:rsid w:val="581F6921"/>
    <w:rsid w:val="582817AF"/>
    <w:rsid w:val="58A80E04"/>
    <w:rsid w:val="58C038C5"/>
    <w:rsid w:val="58CD1F3D"/>
    <w:rsid w:val="58E070E7"/>
    <w:rsid w:val="58FC2A8C"/>
    <w:rsid w:val="592503CD"/>
    <w:rsid w:val="59577FF1"/>
    <w:rsid w:val="595868E6"/>
    <w:rsid w:val="59EE7217"/>
    <w:rsid w:val="5A031FBA"/>
    <w:rsid w:val="5A097746"/>
    <w:rsid w:val="5A1B53F9"/>
    <w:rsid w:val="5A3679C4"/>
    <w:rsid w:val="5A4C0643"/>
    <w:rsid w:val="5A530E40"/>
    <w:rsid w:val="5A91028B"/>
    <w:rsid w:val="5AAB580B"/>
    <w:rsid w:val="5ACA6500"/>
    <w:rsid w:val="5AE337ED"/>
    <w:rsid w:val="5B226A2B"/>
    <w:rsid w:val="5B3503B7"/>
    <w:rsid w:val="5B702511"/>
    <w:rsid w:val="5B702712"/>
    <w:rsid w:val="5B9D1D5F"/>
    <w:rsid w:val="5BAA18A1"/>
    <w:rsid w:val="5BD95E4D"/>
    <w:rsid w:val="5BF46D3E"/>
    <w:rsid w:val="5C084C6E"/>
    <w:rsid w:val="5C0D63F7"/>
    <w:rsid w:val="5C465246"/>
    <w:rsid w:val="5C6E395A"/>
    <w:rsid w:val="5CB25C90"/>
    <w:rsid w:val="5CCE65D7"/>
    <w:rsid w:val="5CD04139"/>
    <w:rsid w:val="5D1928CC"/>
    <w:rsid w:val="5D3B2866"/>
    <w:rsid w:val="5D6F0D72"/>
    <w:rsid w:val="5DA84284"/>
    <w:rsid w:val="5DAA43BA"/>
    <w:rsid w:val="5DE24514"/>
    <w:rsid w:val="5E246282"/>
    <w:rsid w:val="5E4465EC"/>
    <w:rsid w:val="5E867220"/>
    <w:rsid w:val="5EB138E7"/>
    <w:rsid w:val="5EC8350D"/>
    <w:rsid w:val="5ED50624"/>
    <w:rsid w:val="5EEE216B"/>
    <w:rsid w:val="5F327799"/>
    <w:rsid w:val="5F890A06"/>
    <w:rsid w:val="5F9C3975"/>
    <w:rsid w:val="5FA91901"/>
    <w:rsid w:val="5FC16FA8"/>
    <w:rsid w:val="5FF02075"/>
    <w:rsid w:val="5FFE0D69"/>
    <w:rsid w:val="6055781B"/>
    <w:rsid w:val="606E2944"/>
    <w:rsid w:val="607544CD"/>
    <w:rsid w:val="609B22F3"/>
    <w:rsid w:val="60F63558"/>
    <w:rsid w:val="6126686F"/>
    <w:rsid w:val="613D1D17"/>
    <w:rsid w:val="616C7377"/>
    <w:rsid w:val="6184248C"/>
    <w:rsid w:val="61AB6AC8"/>
    <w:rsid w:val="62107AF1"/>
    <w:rsid w:val="622C5484"/>
    <w:rsid w:val="628378A4"/>
    <w:rsid w:val="62ED1CFB"/>
    <w:rsid w:val="630D008F"/>
    <w:rsid w:val="636D582F"/>
    <w:rsid w:val="637C1DD7"/>
    <w:rsid w:val="63F631B7"/>
    <w:rsid w:val="64290161"/>
    <w:rsid w:val="64577682"/>
    <w:rsid w:val="647B3077"/>
    <w:rsid w:val="64E82021"/>
    <w:rsid w:val="65181CEF"/>
    <w:rsid w:val="654672B3"/>
    <w:rsid w:val="65472B37"/>
    <w:rsid w:val="6564562B"/>
    <w:rsid w:val="657B15F3"/>
    <w:rsid w:val="65FD6DE2"/>
    <w:rsid w:val="66111DAC"/>
    <w:rsid w:val="6618760C"/>
    <w:rsid w:val="66403F93"/>
    <w:rsid w:val="66500DEB"/>
    <w:rsid w:val="669F578B"/>
    <w:rsid w:val="66A562F6"/>
    <w:rsid w:val="66E7135C"/>
    <w:rsid w:val="67234B8F"/>
    <w:rsid w:val="67540993"/>
    <w:rsid w:val="678655E4"/>
    <w:rsid w:val="67C204DA"/>
    <w:rsid w:val="67EC0DFC"/>
    <w:rsid w:val="681770D1"/>
    <w:rsid w:val="68297D70"/>
    <w:rsid w:val="68E3798D"/>
    <w:rsid w:val="691163F0"/>
    <w:rsid w:val="692A1518"/>
    <w:rsid w:val="693A5F2F"/>
    <w:rsid w:val="695A176B"/>
    <w:rsid w:val="69B5714D"/>
    <w:rsid w:val="69BD115F"/>
    <w:rsid w:val="69EC37D4"/>
    <w:rsid w:val="6A223CAF"/>
    <w:rsid w:val="6A622D14"/>
    <w:rsid w:val="6A652199"/>
    <w:rsid w:val="6AD1726E"/>
    <w:rsid w:val="6AF26B3F"/>
    <w:rsid w:val="6B0F2632"/>
    <w:rsid w:val="6B2C2D4C"/>
    <w:rsid w:val="6B2D6E12"/>
    <w:rsid w:val="6B496C6F"/>
    <w:rsid w:val="6BB5616F"/>
    <w:rsid w:val="6C0417B4"/>
    <w:rsid w:val="6C041C46"/>
    <w:rsid w:val="6C535248"/>
    <w:rsid w:val="6C5D5536"/>
    <w:rsid w:val="6C655162"/>
    <w:rsid w:val="6C702411"/>
    <w:rsid w:val="6C7034F3"/>
    <w:rsid w:val="6CA24FC7"/>
    <w:rsid w:val="6CC65C6F"/>
    <w:rsid w:val="6D1E0194"/>
    <w:rsid w:val="6D286525"/>
    <w:rsid w:val="6D601F02"/>
    <w:rsid w:val="6D7C4AD6"/>
    <w:rsid w:val="6DA325EB"/>
    <w:rsid w:val="6E072E13"/>
    <w:rsid w:val="6E210380"/>
    <w:rsid w:val="6E317730"/>
    <w:rsid w:val="6E794BCD"/>
    <w:rsid w:val="6ED2525C"/>
    <w:rsid w:val="6EF0008F"/>
    <w:rsid w:val="6F0D5441"/>
    <w:rsid w:val="6F2936EC"/>
    <w:rsid w:val="6F6B3DA0"/>
    <w:rsid w:val="6F7C164F"/>
    <w:rsid w:val="6F80797E"/>
    <w:rsid w:val="6F816824"/>
    <w:rsid w:val="6FA8117E"/>
    <w:rsid w:val="6FBC0BEC"/>
    <w:rsid w:val="6FE93B2A"/>
    <w:rsid w:val="6FF82AC0"/>
    <w:rsid w:val="6FFD6F48"/>
    <w:rsid w:val="701D5E53"/>
    <w:rsid w:val="70233E9D"/>
    <w:rsid w:val="705E72EE"/>
    <w:rsid w:val="70A835E0"/>
    <w:rsid w:val="70C26FB3"/>
    <w:rsid w:val="7105557C"/>
    <w:rsid w:val="71147D94"/>
    <w:rsid w:val="71344A46"/>
    <w:rsid w:val="713C1E52"/>
    <w:rsid w:val="714057E6"/>
    <w:rsid w:val="716D3CA6"/>
    <w:rsid w:val="71804EA4"/>
    <w:rsid w:val="718741B5"/>
    <w:rsid w:val="71921F28"/>
    <w:rsid w:val="71B963CC"/>
    <w:rsid w:val="71C30C91"/>
    <w:rsid w:val="71CF458A"/>
    <w:rsid w:val="72057F58"/>
    <w:rsid w:val="723039E4"/>
    <w:rsid w:val="724E554F"/>
    <w:rsid w:val="72563C24"/>
    <w:rsid w:val="726E34C9"/>
    <w:rsid w:val="728C2E33"/>
    <w:rsid w:val="72D30C6F"/>
    <w:rsid w:val="730748FD"/>
    <w:rsid w:val="73091DE9"/>
    <w:rsid w:val="730A49CC"/>
    <w:rsid w:val="731552AE"/>
    <w:rsid w:val="73196D95"/>
    <w:rsid w:val="73393FFE"/>
    <w:rsid w:val="73486526"/>
    <w:rsid w:val="73604EB6"/>
    <w:rsid w:val="739D6139"/>
    <w:rsid w:val="73A225C1"/>
    <w:rsid w:val="73DE2356"/>
    <w:rsid w:val="73EA2D8F"/>
    <w:rsid w:val="73F73350"/>
    <w:rsid w:val="741025F2"/>
    <w:rsid w:val="7418037D"/>
    <w:rsid w:val="743566B8"/>
    <w:rsid w:val="747819FF"/>
    <w:rsid w:val="74A85838"/>
    <w:rsid w:val="74D20734"/>
    <w:rsid w:val="74DA0623"/>
    <w:rsid w:val="75001DE5"/>
    <w:rsid w:val="75153B55"/>
    <w:rsid w:val="755A0A19"/>
    <w:rsid w:val="755C0699"/>
    <w:rsid w:val="756B5E6B"/>
    <w:rsid w:val="757B0F4D"/>
    <w:rsid w:val="75B82FB1"/>
    <w:rsid w:val="75BE485E"/>
    <w:rsid w:val="75CF5154"/>
    <w:rsid w:val="75D82E58"/>
    <w:rsid w:val="75F21E91"/>
    <w:rsid w:val="76486E86"/>
    <w:rsid w:val="7663711E"/>
    <w:rsid w:val="76733229"/>
    <w:rsid w:val="76836307"/>
    <w:rsid w:val="769C159B"/>
    <w:rsid w:val="77383FF4"/>
    <w:rsid w:val="773F5668"/>
    <w:rsid w:val="778744A6"/>
    <w:rsid w:val="77E34BBF"/>
    <w:rsid w:val="780350F4"/>
    <w:rsid w:val="7825692D"/>
    <w:rsid w:val="784748E4"/>
    <w:rsid w:val="78E02D91"/>
    <w:rsid w:val="79191304"/>
    <w:rsid w:val="79750A88"/>
    <w:rsid w:val="797A156C"/>
    <w:rsid w:val="798D1378"/>
    <w:rsid w:val="7A441639"/>
    <w:rsid w:val="7ADD47B5"/>
    <w:rsid w:val="7AE3772B"/>
    <w:rsid w:val="7B2D68A5"/>
    <w:rsid w:val="7B361733"/>
    <w:rsid w:val="7B9A2E37"/>
    <w:rsid w:val="7B9B3656"/>
    <w:rsid w:val="7B9F205C"/>
    <w:rsid w:val="7BEB1AB4"/>
    <w:rsid w:val="7BFF2E69"/>
    <w:rsid w:val="7C091993"/>
    <w:rsid w:val="7C106E98"/>
    <w:rsid w:val="7C50111C"/>
    <w:rsid w:val="7C827017"/>
    <w:rsid w:val="7C8313D5"/>
    <w:rsid w:val="7C9A68DA"/>
    <w:rsid w:val="7C9F41A4"/>
    <w:rsid w:val="7CD94362"/>
    <w:rsid w:val="7CEE285C"/>
    <w:rsid w:val="7CF81C96"/>
    <w:rsid w:val="7D0D70FF"/>
    <w:rsid w:val="7D16490F"/>
    <w:rsid w:val="7D5D23BD"/>
    <w:rsid w:val="7D5E7E3F"/>
    <w:rsid w:val="7D6577CA"/>
    <w:rsid w:val="7D676E9C"/>
    <w:rsid w:val="7D8423F0"/>
    <w:rsid w:val="7E502C4A"/>
    <w:rsid w:val="7E541651"/>
    <w:rsid w:val="7E8B17AA"/>
    <w:rsid w:val="7E9E07CB"/>
    <w:rsid w:val="7EBF5EA2"/>
    <w:rsid w:val="7EC73B8E"/>
    <w:rsid w:val="7ED45A48"/>
    <w:rsid w:val="7F0E237D"/>
    <w:rsid w:val="7F375E94"/>
    <w:rsid w:val="7F475253"/>
    <w:rsid w:val="7F602A87"/>
    <w:rsid w:val="7F884466"/>
    <w:rsid w:val="7FE26E25"/>
    <w:rsid w:val="7FF16AF3"/>
    <w:rsid w:val="7FF667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1"/>
    <w:pPr>
      <w:ind w:left="120"/>
      <w:outlineLvl w:val="0"/>
    </w:pPr>
    <w:rPr>
      <w:rFonts w:ascii="等线" w:hAnsi="等线" w:eastAsia="等线" w:cs="等线"/>
      <w:b/>
      <w:bCs/>
      <w:sz w:val="44"/>
      <w:szCs w:val="44"/>
      <w:lang w:val="zh-CN" w:bidi="zh-CN"/>
    </w:rPr>
  </w:style>
  <w:style w:type="paragraph" w:styleId="3">
    <w:name w:val="heading 2"/>
    <w:basedOn w:val="1"/>
    <w:next w:val="1"/>
    <w:unhideWhenUsed/>
    <w:qFormat/>
    <w:uiPriority w:val="9"/>
    <w:pPr>
      <w:keepNext/>
      <w:keepLines/>
      <w:spacing w:before="260" w:after="260" w:line="416" w:lineRule="auto"/>
      <w:outlineLvl w:val="1"/>
    </w:pPr>
    <w:rPr>
      <w:rFonts w:ascii="Cambria" w:hAnsi="Cambria" w:eastAsia="宋体" w:cs="Times New Roman"/>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qFormat/>
    <w:uiPriority w:val="1"/>
    <w:rPr>
      <w:rFonts w:ascii="等线" w:hAnsi="等线" w:eastAsia="等线" w:cs="等线"/>
      <w:szCs w:val="21"/>
      <w:lang w:val="zh-CN" w:bidi="zh-CN"/>
    </w:rPr>
  </w:style>
  <w:style w:type="paragraph" w:styleId="6">
    <w:name w:val="Body Text Indent"/>
    <w:basedOn w:val="1"/>
    <w:qFormat/>
    <w:uiPriority w:val="0"/>
    <w:pPr>
      <w:spacing w:before="240" w:line="400" w:lineRule="exact"/>
      <w:ind w:firstLine="505"/>
    </w:pPr>
    <w:rPr>
      <w:rFonts w:ascii="宋体"/>
      <w:sz w:val="24"/>
    </w:rPr>
  </w:style>
  <w:style w:type="paragraph" w:styleId="7">
    <w:name w:val="Plain Text"/>
    <w:basedOn w:val="1"/>
    <w:qFormat/>
    <w:uiPriority w:val="0"/>
    <w:rPr>
      <w:rFonts w:ascii="宋体" w:hAnsi="Courier New"/>
      <w:snapToGrid w:val="0"/>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99"/>
    <w:pPr>
      <w:widowControl/>
      <w:spacing w:before="100" w:beforeAutospacing="1" w:after="100" w:afterAutospacing="1"/>
      <w:jc w:val="left"/>
    </w:pPr>
    <w:rPr>
      <w:rFonts w:ascii="宋体" w:hAnsi="宋体"/>
      <w:kern w:val="0"/>
      <w:sz w:val="24"/>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4">
    <w:name w:val="Strong"/>
    <w:basedOn w:val="13"/>
    <w:qFormat/>
    <w:uiPriority w:val="0"/>
    <w:rPr>
      <w:b/>
    </w:rPr>
  </w:style>
  <w:style w:type="character" w:styleId="15">
    <w:name w:val="page number"/>
    <w:basedOn w:val="13"/>
    <w:qFormat/>
    <w:uiPriority w:val="0"/>
  </w:style>
  <w:style w:type="character" w:styleId="16">
    <w:name w:val="Hyperlink"/>
    <w:basedOn w:val="13"/>
    <w:qFormat/>
    <w:uiPriority w:val="0"/>
    <w:rPr>
      <w:color w:val="0000FF"/>
      <w:u w:val="single"/>
    </w:rPr>
  </w:style>
  <w:style w:type="paragraph" w:customStyle="1" w:styleId="17">
    <w:name w:val="List Paragraph1"/>
    <w:basedOn w:val="1"/>
    <w:qFormat/>
    <w:uiPriority w:val="34"/>
    <w:pPr>
      <w:ind w:firstLine="420" w:firstLineChars="200"/>
    </w:pPr>
  </w:style>
  <w:style w:type="character" w:customStyle="1" w:styleId="18">
    <w:name w:val="font11"/>
    <w:basedOn w:val="13"/>
    <w:qFormat/>
    <w:uiPriority w:val="0"/>
    <w:rPr>
      <w:rFonts w:ascii="Futura Bk" w:hAnsi="Futura Bk" w:eastAsia="Futura Bk" w:cs="Futura Bk"/>
      <w:color w:val="000000"/>
      <w:sz w:val="20"/>
      <w:szCs w:val="20"/>
      <w:u w:val="none"/>
    </w:rPr>
  </w:style>
  <w:style w:type="character" w:customStyle="1" w:styleId="19">
    <w:name w:val="font31"/>
    <w:basedOn w:val="13"/>
    <w:qFormat/>
    <w:uiPriority w:val="0"/>
    <w:rPr>
      <w:rFonts w:hint="eastAsia" w:ascii="宋体" w:hAnsi="宋体" w:eastAsia="宋体" w:cs="宋体"/>
      <w:color w:val="000000"/>
      <w:sz w:val="20"/>
      <w:szCs w:val="20"/>
      <w:u w:val="none"/>
    </w:rPr>
  </w:style>
  <w:style w:type="paragraph" w:styleId="20">
    <w:name w:val="List Paragraph"/>
    <w:basedOn w:val="1"/>
    <w:qFormat/>
    <w:uiPriority w:val="1"/>
    <w:pPr>
      <w:spacing w:line="312" w:lineRule="exact"/>
      <w:ind w:left="480" w:hanging="361"/>
    </w:pPr>
    <w:rPr>
      <w:rFonts w:ascii="等线" w:hAnsi="等线" w:eastAsia="等线" w:cs="等线"/>
      <w:lang w:val="zh-CN" w:bidi="zh-CN"/>
    </w:rPr>
  </w:style>
  <w:style w:type="paragraph" w:customStyle="1" w:styleId="21">
    <w:name w:val="Table Paragraph"/>
    <w:basedOn w:val="1"/>
    <w:qFormat/>
    <w:uiPriority w:val="1"/>
    <w:pPr>
      <w:ind w:left="107"/>
    </w:pPr>
    <w:rPr>
      <w:rFonts w:ascii="等线" w:hAnsi="等线" w:eastAsia="等线" w:cs="等线"/>
      <w:lang w:val="zh-CN" w:bidi="zh-CN"/>
    </w:rPr>
  </w:style>
  <w:style w:type="paragraph" w:customStyle="1" w:styleId="22">
    <w:name w:val="标题 2 New"/>
    <w:basedOn w:val="23"/>
    <w:next w:val="24"/>
    <w:qFormat/>
    <w:uiPriority w:val="0"/>
    <w:pPr>
      <w:numPr>
        <w:ilvl w:val="1"/>
        <w:numId w:val="1"/>
      </w:numPr>
      <w:tabs>
        <w:tab w:val="left" w:pos="432"/>
        <w:tab w:val="left" w:pos="630"/>
        <w:tab w:val="clear" w:pos="576"/>
      </w:tabs>
      <w:spacing w:before="240" w:beforeLines="0" w:after="240" w:afterLines="0"/>
      <w:ind w:left="578" w:hanging="578"/>
      <w:outlineLvl w:val="1"/>
    </w:pPr>
    <w:rPr>
      <w:sz w:val="28"/>
    </w:rPr>
  </w:style>
  <w:style w:type="paragraph" w:customStyle="1" w:styleId="23">
    <w:name w:val="标题 1 New New"/>
    <w:basedOn w:val="1"/>
    <w:next w:val="24"/>
    <w:qFormat/>
    <w:uiPriority w:val="0"/>
    <w:pPr>
      <w:keepNext/>
      <w:widowControl/>
      <w:numPr>
        <w:ilvl w:val="0"/>
        <w:numId w:val="1"/>
      </w:numPr>
      <w:spacing w:before="480" w:beforeLines="0" w:after="240" w:afterLines="0" w:line="400" w:lineRule="exact"/>
      <w:jc w:val="left"/>
      <w:outlineLvl w:val="0"/>
    </w:pPr>
    <w:rPr>
      <w:rFonts w:eastAsia="黑体"/>
      <w:b/>
      <w:kern w:val="0"/>
      <w:sz w:val="32"/>
      <w:szCs w:val="20"/>
    </w:rPr>
  </w:style>
  <w:style w:type="paragraph" w:customStyle="1" w:styleId="24">
    <w:name w:val="正文文本缩进 New New"/>
    <w:basedOn w:val="1"/>
    <w:qFormat/>
    <w:uiPriority w:val="0"/>
    <w:pPr>
      <w:spacing w:after="120" w:afterLines="0"/>
      <w:ind w:left="420"/>
    </w:pPr>
    <w:rPr>
      <w:rFonts w:ascii="Garamond" w:hAnsi="Garamond"/>
      <w:sz w:val="24"/>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2763</Words>
  <Characters>2857</Characters>
  <Lines>59</Lines>
  <Paragraphs>16</Paragraphs>
  <TotalTime>1</TotalTime>
  <ScaleCrop>false</ScaleCrop>
  <LinksUpToDate>false</LinksUpToDate>
  <CharactersWithSpaces>2982</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2022-06-28T14:31:00Z</dcterms:created>
  <dc:creator>gujianbin</dc:creator>
  <cp:lastModifiedBy>caixueliang-002</cp:lastModifiedBy>
  <dcterms:modified xsi:type="dcterms:W3CDTF">2026-07-07T08:18:33Z</dcterms:modified>
  <cp:revision>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65826CE7A9EE4204B98C31A92698788F_13</vt:lpwstr>
  </property>
</Properties>
</file>